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EB" w:rsidRPr="007B4B0B" w:rsidRDefault="003256EB" w:rsidP="00540C09">
      <w:pPr>
        <w:ind w:left="5812"/>
        <w:jc w:val="center"/>
      </w:pPr>
      <w:bookmarkStart w:id="0" w:name="_Toc509910356"/>
      <w:r w:rsidRPr="007B4B0B">
        <w:t>УТВЕРЖДЕНО</w:t>
      </w:r>
    </w:p>
    <w:p w:rsidR="003256EB" w:rsidRPr="007B4B0B" w:rsidRDefault="003256EB" w:rsidP="00540C09">
      <w:pPr>
        <w:ind w:left="5812"/>
        <w:jc w:val="center"/>
      </w:pPr>
      <w:r w:rsidRPr="007B4B0B">
        <w:t>приказом Государственной компании</w:t>
      </w:r>
    </w:p>
    <w:p w:rsidR="003256EB" w:rsidRPr="007B4B0B" w:rsidRDefault="003256EB" w:rsidP="00540C09">
      <w:pPr>
        <w:ind w:left="5812"/>
        <w:jc w:val="center"/>
      </w:pPr>
      <w:r w:rsidRPr="007B4B0B">
        <w:t>«Российские автомобильные дороги»</w:t>
      </w:r>
    </w:p>
    <w:p w:rsidR="003256EB" w:rsidRPr="00540C09" w:rsidRDefault="0054569C" w:rsidP="00540C09">
      <w:pPr>
        <w:ind w:left="5812"/>
        <w:jc w:val="center"/>
      </w:pPr>
      <w:r>
        <w:t>от «21» ноября 2025 г. № 508</w:t>
      </w:r>
    </w:p>
    <w:p w:rsidR="003256EB" w:rsidRPr="007B4B0B" w:rsidRDefault="003256EB" w:rsidP="003256EB">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Типовое приложение № 75. Форма по предоставлению информации по подготовке к зиме</w:t>
      </w:r>
      <w:r w:rsidR="005E7F0D" w:rsidRPr="005E7F0D">
        <w:rPr>
          <w:b/>
          <w:color w:val="000000"/>
          <w:szCs w:val="22"/>
        </w:rPr>
        <w:t xml:space="preserve"> </w:t>
      </w:r>
      <w:r w:rsidR="005E7F0D"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jc w:val="both"/>
        <w:rPr>
          <w:i/>
          <w:iCs/>
          <w:sz w:val="23"/>
          <w:szCs w:val="23"/>
          <w:lang w:bidi="ru-RU"/>
        </w:rPr>
      </w:pPr>
      <w:r w:rsidRPr="007B4B0B">
        <w:rPr>
          <w:i/>
          <w:iCs/>
          <w:sz w:val="23"/>
          <w:szCs w:val="23"/>
          <w:lang w:bidi="ru-RU"/>
        </w:rPr>
        <w:t>Термины, используемые в приложении, применяются в значении, установленном договором между подрядчиком и Государственной компанией «Российские автомобильные дороги»</w:t>
      </w:r>
      <w:r w:rsidR="00713B69" w:rsidRPr="007B4B0B">
        <w:rPr>
          <w:i/>
          <w:iCs/>
          <w:sz w:val="23"/>
          <w:szCs w:val="23"/>
          <w:lang w:bidi="ru-RU"/>
        </w:rPr>
        <w:t>. В случае отсутствия термина в договоре, – в значении, установленном в Типовом приложении № 70, утвержденном приказом Государственной компании «Российские автомобильные дороги»</w:t>
      </w:r>
      <w:r w:rsidRPr="007B4B0B">
        <w:rPr>
          <w:i/>
          <w:iCs/>
          <w:sz w:val="23"/>
          <w:szCs w:val="23"/>
          <w:lang w:bidi="ru-RU"/>
        </w:rPr>
        <w:t>.</w:t>
      </w:r>
    </w:p>
    <w:p w:rsidR="003256EB" w:rsidRPr="007B4B0B" w:rsidRDefault="003256EB" w:rsidP="003256EB">
      <w:pPr>
        <w:widowControl w:val="0"/>
        <w:autoSpaceDE w:val="0"/>
        <w:autoSpaceDN w:val="0"/>
        <w:rPr>
          <w:sz w:val="23"/>
          <w:szCs w:val="23"/>
          <w:lang w:bidi="ru-RU"/>
        </w:rPr>
      </w:pPr>
    </w:p>
    <w:p w:rsidR="003256EB" w:rsidRPr="007B4B0B" w:rsidRDefault="003256EB" w:rsidP="003256EB">
      <w:pPr>
        <w:widowControl w:val="0"/>
        <w:tabs>
          <w:tab w:val="left" w:pos="1418"/>
        </w:tabs>
        <w:autoSpaceDE w:val="0"/>
        <w:autoSpaceDN w:val="0"/>
        <w:ind w:left="566"/>
        <w:jc w:val="center"/>
        <w:rPr>
          <w:b/>
          <w:sz w:val="23"/>
          <w:szCs w:val="23"/>
          <w:lang w:bidi="ru-RU"/>
        </w:rPr>
      </w:pPr>
      <w:r w:rsidRPr="007B4B0B">
        <w:rPr>
          <w:b/>
          <w:sz w:val="23"/>
          <w:szCs w:val="23"/>
          <w:lang w:bidi="ru-RU"/>
        </w:rPr>
        <w:t xml:space="preserve">Информация о ходе подготовки </w:t>
      </w:r>
      <w:r w:rsidRPr="007B4B0B">
        <w:rPr>
          <w:b/>
          <w:bCs/>
          <w:sz w:val="23"/>
          <w:szCs w:val="23"/>
          <w:lang w:bidi="ru-RU"/>
        </w:rPr>
        <w:t>Объекта к содержанию в зимний период эксплуатации</w:t>
      </w:r>
      <w:r w:rsidRPr="007B4B0B">
        <w:rPr>
          <w:b/>
          <w:sz w:val="23"/>
          <w:szCs w:val="23"/>
          <w:lang w:bidi="ru-RU"/>
        </w:rPr>
        <w:t xml:space="preserve"> 20__- 20__ гг. по состоянию на   «___» __________ 20__ г.</w:t>
      </w:r>
    </w:p>
    <w:p w:rsidR="00957285" w:rsidRPr="007B4B0B" w:rsidRDefault="00957285" w:rsidP="003256EB">
      <w:pPr>
        <w:widowControl w:val="0"/>
        <w:tabs>
          <w:tab w:val="left" w:pos="1418"/>
        </w:tabs>
        <w:autoSpaceDE w:val="0"/>
        <w:autoSpaceDN w:val="0"/>
        <w:ind w:left="566"/>
        <w:jc w:val="center"/>
        <w:rPr>
          <w:b/>
          <w:sz w:val="23"/>
          <w:szCs w:val="23"/>
          <w:lang w:bidi="ru-RU"/>
        </w:rPr>
      </w:pPr>
    </w:p>
    <w:tbl>
      <w:tblPr>
        <w:tblStyle w:val="af2"/>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8"/>
        <w:gridCol w:w="3535"/>
        <w:gridCol w:w="2979"/>
        <w:gridCol w:w="2313"/>
      </w:tblGrid>
      <w:tr w:rsidR="000A6182"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957285" w:rsidRPr="007B4B0B" w:rsidRDefault="00957285" w:rsidP="00957285">
            <w:pPr>
              <w:widowControl w:val="0"/>
              <w:autoSpaceDE w:val="0"/>
              <w:autoSpaceDN w:val="0"/>
              <w:jc w:val="center"/>
              <w:rPr>
                <w:b/>
                <w:sz w:val="23"/>
                <w:szCs w:val="23"/>
                <w:lang w:bidi="ru-RU"/>
              </w:rPr>
            </w:pPr>
            <w:r w:rsidRPr="007B4B0B">
              <w:rPr>
                <w:b/>
                <w:sz w:val="23"/>
                <w:szCs w:val="23"/>
                <w:lang w:bidi="ru-RU"/>
              </w:rPr>
              <w:t>№ п/п</w:t>
            </w:r>
          </w:p>
        </w:tc>
        <w:tc>
          <w:tcPr>
            <w:tcW w:w="3363" w:type="pct"/>
            <w:gridSpan w:val="2"/>
            <w:tcBorders>
              <w:top w:val="single" w:sz="4" w:space="0" w:color="auto"/>
              <w:left w:val="single" w:sz="4" w:space="0" w:color="auto"/>
              <w:bottom w:val="single" w:sz="4" w:space="0" w:color="auto"/>
              <w:right w:val="single" w:sz="4" w:space="0" w:color="auto"/>
            </w:tcBorders>
          </w:tcPr>
          <w:p w:rsidR="00957285" w:rsidRPr="007B4B0B" w:rsidRDefault="00957285" w:rsidP="003256EB">
            <w:pPr>
              <w:widowControl w:val="0"/>
              <w:tabs>
                <w:tab w:val="left" w:pos="1418"/>
              </w:tabs>
              <w:autoSpaceDE w:val="0"/>
              <w:autoSpaceDN w:val="0"/>
              <w:jc w:val="center"/>
              <w:rPr>
                <w:b/>
                <w:sz w:val="23"/>
                <w:szCs w:val="23"/>
                <w:lang w:bidi="ru-RU"/>
              </w:rPr>
            </w:pPr>
            <w:r w:rsidRPr="007B4B0B">
              <w:rPr>
                <w:b/>
                <w:sz w:val="23"/>
                <w:szCs w:val="23"/>
                <w:lang w:bidi="ru-RU"/>
              </w:rPr>
              <w:t>Наименование</w:t>
            </w:r>
          </w:p>
        </w:tc>
        <w:tc>
          <w:tcPr>
            <w:tcW w:w="1194" w:type="pct"/>
            <w:tcBorders>
              <w:top w:val="single" w:sz="4" w:space="0" w:color="auto"/>
              <w:left w:val="single" w:sz="4" w:space="0" w:color="auto"/>
              <w:bottom w:val="single" w:sz="4" w:space="0" w:color="auto"/>
              <w:right w:val="single" w:sz="4" w:space="0" w:color="auto"/>
            </w:tcBorders>
          </w:tcPr>
          <w:p w:rsidR="00957285" w:rsidRPr="007B4B0B" w:rsidRDefault="00957285" w:rsidP="003256EB">
            <w:pPr>
              <w:widowControl w:val="0"/>
              <w:tabs>
                <w:tab w:val="left" w:pos="1418"/>
              </w:tabs>
              <w:autoSpaceDE w:val="0"/>
              <w:autoSpaceDN w:val="0"/>
              <w:jc w:val="center"/>
              <w:rPr>
                <w:b/>
                <w:sz w:val="23"/>
                <w:szCs w:val="23"/>
                <w:lang w:bidi="ru-RU"/>
              </w:rPr>
            </w:pPr>
            <w:r w:rsidRPr="007B4B0B">
              <w:rPr>
                <w:b/>
                <w:sz w:val="23"/>
                <w:szCs w:val="23"/>
                <w:lang w:bidi="ru-RU"/>
              </w:rPr>
              <w:t>Количество</w:t>
            </w:r>
          </w:p>
        </w:tc>
      </w:tr>
      <w:tr w:rsidR="002021A3"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2021A3" w:rsidRPr="007B4B0B" w:rsidRDefault="002021A3" w:rsidP="002C4B3E">
            <w:pPr>
              <w:pStyle w:val="af6"/>
              <w:widowControl w:val="0"/>
              <w:numPr>
                <w:ilvl w:val="0"/>
                <w:numId w:val="432"/>
              </w:numPr>
              <w:tabs>
                <w:tab w:val="left" w:pos="1418"/>
              </w:tabs>
              <w:autoSpaceDE w:val="0"/>
              <w:autoSpaceDN w:val="0"/>
              <w:jc w:val="left"/>
              <w:rPr>
                <w:sz w:val="23"/>
                <w:szCs w:val="23"/>
                <w:lang w:bidi="ru-RU"/>
              </w:rPr>
            </w:pPr>
          </w:p>
        </w:tc>
        <w:tc>
          <w:tcPr>
            <w:tcW w:w="4557" w:type="pct"/>
            <w:gridSpan w:val="3"/>
            <w:tcBorders>
              <w:top w:val="single" w:sz="4" w:space="0" w:color="auto"/>
              <w:left w:val="single" w:sz="4" w:space="0" w:color="auto"/>
              <w:bottom w:val="single" w:sz="4" w:space="0" w:color="auto"/>
              <w:right w:val="single" w:sz="4" w:space="0" w:color="auto"/>
            </w:tcBorders>
          </w:tcPr>
          <w:p w:rsidR="002021A3" w:rsidRPr="007B4B0B" w:rsidRDefault="002021A3" w:rsidP="003256EB">
            <w:pPr>
              <w:widowControl w:val="0"/>
              <w:tabs>
                <w:tab w:val="left" w:pos="1418"/>
              </w:tabs>
              <w:autoSpaceDE w:val="0"/>
              <w:autoSpaceDN w:val="0"/>
              <w:jc w:val="center"/>
              <w:rPr>
                <w:sz w:val="23"/>
                <w:szCs w:val="23"/>
                <w:lang w:bidi="ru-RU"/>
              </w:rPr>
            </w:pPr>
            <w:r w:rsidRPr="007B4B0B">
              <w:rPr>
                <w:rFonts w:eastAsia="Calibri"/>
                <w:sz w:val="23"/>
                <w:szCs w:val="23"/>
                <w:lang w:eastAsia="en-US" w:bidi="ru-RU"/>
              </w:rPr>
              <w:t xml:space="preserve">Протяженность: </w:t>
            </w:r>
          </w:p>
        </w:tc>
      </w:tr>
      <w:tr w:rsidR="000A6182"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957285" w:rsidRPr="007B4B0B" w:rsidRDefault="00957285" w:rsidP="002C4B3E">
            <w:pPr>
              <w:pStyle w:val="af6"/>
              <w:widowControl w:val="0"/>
              <w:numPr>
                <w:ilvl w:val="1"/>
                <w:numId w:val="432"/>
              </w:numPr>
              <w:tabs>
                <w:tab w:val="left" w:pos="1418"/>
              </w:tabs>
              <w:autoSpaceDE w:val="0"/>
              <w:autoSpaceDN w:val="0"/>
              <w:ind w:hanging="27"/>
              <w:jc w:val="left"/>
              <w:rPr>
                <w:sz w:val="23"/>
                <w:szCs w:val="23"/>
                <w:lang w:bidi="ru-RU"/>
              </w:rPr>
            </w:pPr>
          </w:p>
        </w:tc>
        <w:tc>
          <w:tcPr>
            <w:tcW w:w="3363" w:type="pct"/>
            <w:gridSpan w:val="2"/>
            <w:tcBorders>
              <w:top w:val="single" w:sz="4" w:space="0" w:color="auto"/>
              <w:left w:val="single" w:sz="4" w:space="0" w:color="auto"/>
              <w:bottom w:val="single" w:sz="4" w:space="0" w:color="auto"/>
              <w:right w:val="single" w:sz="4" w:space="0" w:color="auto"/>
            </w:tcBorders>
          </w:tcPr>
          <w:p w:rsidR="00957285" w:rsidRPr="007B4B0B" w:rsidRDefault="00957285"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автомобильной дороги, км</w:t>
            </w:r>
          </w:p>
        </w:tc>
        <w:tc>
          <w:tcPr>
            <w:tcW w:w="1194" w:type="pct"/>
            <w:tcBorders>
              <w:top w:val="single" w:sz="4" w:space="0" w:color="auto"/>
              <w:left w:val="single" w:sz="4" w:space="0" w:color="auto"/>
              <w:bottom w:val="single" w:sz="4" w:space="0" w:color="auto"/>
              <w:right w:val="single" w:sz="4" w:space="0" w:color="auto"/>
            </w:tcBorders>
          </w:tcPr>
          <w:p w:rsidR="00957285" w:rsidRPr="007B4B0B" w:rsidRDefault="00957285" w:rsidP="003256E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957285" w:rsidRPr="007B4B0B" w:rsidRDefault="00957285" w:rsidP="002C4B3E">
            <w:pPr>
              <w:pStyle w:val="af6"/>
              <w:widowControl w:val="0"/>
              <w:numPr>
                <w:ilvl w:val="0"/>
                <w:numId w:val="432"/>
              </w:numPr>
              <w:tabs>
                <w:tab w:val="left" w:pos="1418"/>
              </w:tabs>
              <w:autoSpaceDE w:val="0"/>
              <w:autoSpaceDN w:val="0"/>
              <w:rPr>
                <w:sz w:val="23"/>
                <w:szCs w:val="23"/>
                <w:lang w:bidi="ru-RU"/>
              </w:rPr>
            </w:pPr>
          </w:p>
        </w:tc>
        <w:tc>
          <w:tcPr>
            <w:tcW w:w="3363" w:type="pct"/>
            <w:gridSpan w:val="2"/>
            <w:tcBorders>
              <w:top w:val="single" w:sz="4" w:space="0" w:color="auto"/>
              <w:left w:val="single" w:sz="4" w:space="0" w:color="auto"/>
              <w:bottom w:val="single" w:sz="4" w:space="0" w:color="auto"/>
              <w:right w:val="single" w:sz="4" w:space="0" w:color="auto"/>
            </w:tcBorders>
          </w:tcPr>
          <w:p w:rsidR="00957285" w:rsidRPr="007B4B0B" w:rsidRDefault="00957285"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Годовая потребность (необходимый объем) и заготовка противогололедных материалов (ПГМ):</w:t>
            </w:r>
          </w:p>
        </w:tc>
        <w:tc>
          <w:tcPr>
            <w:tcW w:w="1194" w:type="pct"/>
            <w:tcBorders>
              <w:top w:val="single" w:sz="4" w:space="0" w:color="auto"/>
              <w:left w:val="single" w:sz="4" w:space="0" w:color="auto"/>
              <w:bottom w:val="single" w:sz="4" w:space="0" w:color="auto"/>
              <w:right w:val="single" w:sz="4" w:space="0" w:color="auto"/>
            </w:tcBorders>
          </w:tcPr>
          <w:p w:rsidR="00957285" w:rsidRPr="007B4B0B" w:rsidRDefault="00957285" w:rsidP="00957285">
            <w:pPr>
              <w:widowControl w:val="0"/>
              <w:tabs>
                <w:tab w:val="left" w:pos="1418"/>
              </w:tabs>
              <w:autoSpaceDE w:val="0"/>
              <w:autoSpaceDN w:val="0"/>
              <w:rPr>
                <w:sz w:val="23"/>
                <w:szCs w:val="23"/>
                <w:lang w:bidi="ru-RU"/>
              </w:rPr>
            </w:pPr>
          </w:p>
        </w:tc>
      </w:tr>
      <w:tr w:rsidR="002021A3"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2021A3" w:rsidRPr="007B4B0B" w:rsidRDefault="002021A3" w:rsidP="002C4B3E">
            <w:pPr>
              <w:pStyle w:val="af6"/>
              <w:widowControl w:val="0"/>
              <w:numPr>
                <w:ilvl w:val="1"/>
                <w:numId w:val="432"/>
              </w:numPr>
              <w:tabs>
                <w:tab w:val="left" w:pos="1418"/>
              </w:tabs>
              <w:autoSpaceDE w:val="0"/>
              <w:autoSpaceDN w:val="0"/>
              <w:ind w:hanging="27"/>
              <w:rPr>
                <w:sz w:val="23"/>
                <w:szCs w:val="23"/>
                <w:lang w:bidi="ru-RU"/>
              </w:rPr>
            </w:pPr>
          </w:p>
        </w:tc>
        <w:tc>
          <w:tcPr>
            <w:tcW w:w="4557" w:type="pct"/>
            <w:gridSpan w:val="3"/>
            <w:tcBorders>
              <w:top w:val="single" w:sz="4" w:space="0" w:color="auto"/>
              <w:left w:val="single" w:sz="4" w:space="0" w:color="auto"/>
              <w:bottom w:val="single" w:sz="4" w:space="0" w:color="auto"/>
              <w:right w:val="single" w:sz="4" w:space="0" w:color="auto"/>
            </w:tcBorders>
          </w:tcPr>
          <w:p w:rsidR="002021A3" w:rsidRPr="007B4B0B" w:rsidRDefault="002021A3" w:rsidP="002021A3">
            <w:pPr>
              <w:widowControl w:val="0"/>
              <w:tabs>
                <w:tab w:val="left" w:pos="1418"/>
              </w:tabs>
              <w:autoSpaceDE w:val="0"/>
              <w:autoSpaceDN w:val="0"/>
              <w:jc w:val="left"/>
              <w:rPr>
                <w:sz w:val="23"/>
                <w:szCs w:val="23"/>
                <w:lang w:bidi="ru-RU"/>
              </w:rPr>
            </w:pPr>
            <w:r w:rsidRPr="007B4B0B">
              <w:rPr>
                <w:rFonts w:eastAsia="Calibri"/>
                <w:sz w:val="23"/>
                <w:szCs w:val="23"/>
                <w:lang w:eastAsia="en-US" w:bidi="ru-RU"/>
              </w:rPr>
              <w:t>Комбинированные ПГМ:</w:t>
            </w: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CE279B" w:rsidRPr="007B4B0B" w:rsidRDefault="00CE279B" w:rsidP="00957285">
            <w:pPr>
              <w:widowControl w:val="0"/>
              <w:tabs>
                <w:tab w:val="left" w:pos="1418"/>
              </w:tabs>
              <w:autoSpaceDE w:val="0"/>
              <w:autoSpaceDN w:val="0"/>
              <w:jc w:val="left"/>
              <w:rPr>
                <w:sz w:val="23"/>
                <w:szCs w:val="23"/>
                <w:lang w:bidi="ru-RU"/>
              </w:rPr>
            </w:pPr>
          </w:p>
        </w:tc>
        <w:tc>
          <w:tcPr>
            <w:tcW w:w="1825" w:type="pct"/>
            <w:vMerge w:val="restart"/>
            <w:tcBorders>
              <w:top w:val="single" w:sz="4" w:space="0" w:color="auto"/>
              <w:lef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 пескосоляная смесь  (___%)</w:t>
            </w:r>
          </w:p>
        </w:tc>
        <w:tc>
          <w:tcPr>
            <w:tcW w:w="1538" w:type="pct"/>
            <w:tcBorders>
              <w:top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тыс. тонн</w:t>
            </w:r>
          </w:p>
        </w:tc>
        <w:tc>
          <w:tcPr>
            <w:tcW w:w="1194" w:type="pct"/>
            <w:tcBorders>
              <w:top w:val="single" w:sz="4" w:space="0" w:color="auto"/>
              <w:left w:val="single" w:sz="4" w:space="0" w:color="auto"/>
              <w:right w:val="single" w:sz="4" w:space="0" w:color="auto"/>
            </w:tcBorders>
          </w:tcPr>
          <w:p w:rsidR="00CE279B" w:rsidRPr="007B4B0B" w:rsidRDefault="00CE279B" w:rsidP="003256E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957285">
            <w:pPr>
              <w:widowControl w:val="0"/>
              <w:tabs>
                <w:tab w:val="left" w:pos="1418"/>
              </w:tabs>
              <w:autoSpaceDE w:val="0"/>
              <w:autoSpaceDN w:val="0"/>
              <w:jc w:val="left"/>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p>
        </w:tc>
        <w:tc>
          <w:tcPr>
            <w:tcW w:w="1538" w:type="pct"/>
            <w:tcBorders>
              <w:right w:val="single" w:sz="4" w:space="0" w:color="auto"/>
            </w:tcBorders>
          </w:tcPr>
          <w:p w:rsidR="000A6182" w:rsidRPr="007B4B0B" w:rsidRDefault="00CE279B" w:rsidP="000A6182">
            <w:pPr>
              <w:widowControl w:val="0"/>
              <w:autoSpaceDE w:val="0"/>
              <w:autoSpaceDN w:val="0"/>
              <w:jc w:val="left"/>
              <w:rPr>
                <w:rFonts w:eastAsia="Calibri"/>
                <w:sz w:val="23"/>
                <w:szCs w:val="23"/>
                <w:lang w:eastAsia="en-US" w:bidi="ru-RU"/>
              </w:rPr>
            </w:pPr>
            <w:r w:rsidRPr="007B4B0B">
              <w:rPr>
                <w:rFonts w:eastAsia="Calibri"/>
                <w:sz w:val="23"/>
                <w:szCs w:val="23"/>
                <w:lang w:eastAsia="en-US" w:bidi="ru-RU"/>
              </w:rPr>
              <w:t>заготовлено, тыс. тонн/ %</w:t>
            </w:r>
          </w:p>
        </w:tc>
        <w:tc>
          <w:tcPr>
            <w:tcW w:w="1194" w:type="pct"/>
            <w:tcBorders>
              <w:left w:val="single" w:sz="4" w:space="0" w:color="auto"/>
              <w:right w:val="single" w:sz="4" w:space="0" w:color="auto"/>
            </w:tcBorders>
          </w:tcPr>
          <w:p w:rsidR="00CE279B" w:rsidRPr="007B4B0B" w:rsidRDefault="00CE279B" w:rsidP="003256E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957285">
            <w:pPr>
              <w:widowControl w:val="0"/>
              <w:tabs>
                <w:tab w:val="left" w:pos="1418"/>
              </w:tabs>
              <w:autoSpaceDE w:val="0"/>
              <w:autoSpaceDN w:val="0"/>
              <w:jc w:val="left"/>
              <w:rPr>
                <w:sz w:val="23"/>
                <w:szCs w:val="23"/>
                <w:lang w:bidi="ru-RU"/>
              </w:rPr>
            </w:pPr>
          </w:p>
        </w:tc>
        <w:tc>
          <w:tcPr>
            <w:tcW w:w="1825" w:type="pct"/>
            <w:vMerge w:val="restart"/>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в том числе</w:t>
            </w:r>
          </w:p>
          <w:p w:rsidR="00CE279B" w:rsidRPr="007B4B0B" w:rsidRDefault="00CE279B" w:rsidP="00CE279B">
            <w:pPr>
              <w:widowControl w:val="0"/>
              <w:autoSpaceDE w:val="0"/>
              <w:autoSpaceDN w:val="0"/>
              <w:jc w:val="left"/>
              <w:rPr>
                <w:sz w:val="23"/>
                <w:szCs w:val="23"/>
                <w:lang w:bidi="ru-RU"/>
              </w:rPr>
            </w:pPr>
            <w:r w:rsidRPr="007B4B0B">
              <w:rPr>
                <w:rFonts w:eastAsia="Calibri"/>
                <w:sz w:val="23"/>
                <w:szCs w:val="23"/>
                <w:lang w:eastAsia="en-US" w:bidi="ru-RU"/>
              </w:rPr>
              <w:t>- песок</w:t>
            </w:r>
          </w:p>
        </w:tc>
        <w:tc>
          <w:tcPr>
            <w:tcW w:w="1538" w:type="pct"/>
            <w:tcBorders>
              <w:right w:val="single" w:sz="4" w:space="0" w:color="auto"/>
            </w:tcBorders>
          </w:tcPr>
          <w:p w:rsidR="000A6182" w:rsidRPr="007B4B0B" w:rsidRDefault="000A6182" w:rsidP="00CE279B">
            <w:pPr>
              <w:widowControl w:val="0"/>
              <w:tabs>
                <w:tab w:val="left" w:pos="1418"/>
              </w:tabs>
              <w:autoSpaceDE w:val="0"/>
              <w:autoSpaceDN w:val="0"/>
              <w:jc w:val="left"/>
              <w:rPr>
                <w:rFonts w:eastAsia="Calibri"/>
                <w:sz w:val="23"/>
                <w:szCs w:val="23"/>
                <w:lang w:eastAsia="en-US" w:bidi="ru-RU"/>
              </w:rPr>
            </w:pPr>
          </w:p>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тыс. куб. м</w:t>
            </w:r>
          </w:p>
        </w:tc>
        <w:tc>
          <w:tcPr>
            <w:tcW w:w="1194" w:type="pct"/>
            <w:tcBorders>
              <w:left w:val="single" w:sz="4" w:space="0" w:color="auto"/>
              <w:right w:val="single" w:sz="4" w:space="0" w:color="auto"/>
            </w:tcBorders>
          </w:tcPr>
          <w:p w:rsidR="00CE279B" w:rsidRPr="007B4B0B" w:rsidRDefault="00CE279B" w:rsidP="003256EB">
            <w:pPr>
              <w:widowControl w:val="0"/>
              <w:tabs>
                <w:tab w:val="left" w:pos="1418"/>
              </w:tabs>
              <w:autoSpaceDE w:val="0"/>
              <w:autoSpaceDN w:val="0"/>
              <w:jc w:val="center"/>
              <w:rPr>
                <w:sz w:val="23"/>
                <w:szCs w:val="23"/>
                <w:lang w:bidi="ru-RU"/>
              </w:rPr>
            </w:pPr>
          </w:p>
          <w:p w:rsidR="00CE279B" w:rsidRPr="007B4B0B" w:rsidRDefault="00CE279B" w:rsidP="003256E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957285">
            <w:pPr>
              <w:widowControl w:val="0"/>
              <w:tabs>
                <w:tab w:val="left" w:pos="1418"/>
              </w:tabs>
              <w:autoSpaceDE w:val="0"/>
              <w:autoSpaceDN w:val="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заготовлено, тыс. куб. м, %</w:t>
            </w:r>
          </w:p>
          <w:p w:rsidR="000A6182" w:rsidRPr="007B4B0B" w:rsidRDefault="000A6182" w:rsidP="00CE279B">
            <w:pPr>
              <w:widowControl w:val="0"/>
              <w:tabs>
                <w:tab w:val="left" w:pos="1418"/>
              </w:tabs>
              <w:autoSpaceDE w:val="0"/>
              <w:autoSpaceDN w:val="0"/>
              <w:jc w:val="left"/>
              <w:rPr>
                <w:sz w:val="23"/>
                <w:szCs w:val="23"/>
                <w:lang w:bidi="ru-RU"/>
              </w:rPr>
            </w:pPr>
          </w:p>
        </w:tc>
        <w:tc>
          <w:tcPr>
            <w:tcW w:w="1194" w:type="pct"/>
            <w:tcBorders>
              <w:left w:val="single" w:sz="4" w:space="0" w:color="auto"/>
              <w:right w:val="single" w:sz="4" w:space="0" w:color="auto"/>
            </w:tcBorders>
          </w:tcPr>
          <w:p w:rsidR="00CE279B" w:rsidRPr="007B4B0B" w:rsidRDefault="00CE279B" w:rsidP="003256E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957285" w:rsidRPr="007B4B0B" w:rsidRDefault="00957285" w:rsidP="00957285">
            <w:pPr>
              <w:widowControl w:val="0"/>
              <w:tabs>
                <w:tab w:val="left" w:pos="1418"/>
              </w:tabs>
              <w:autoSpaceDE w:val="0"/>
              <w:autoSpaceDN w:val="0"/>
              <w:rPr>
                <w:sz w:val="23"/>
                <w:szCs w:val="23"/>
                <w:lang w:bidi="ru-RU"/>
              </w:rPr>
            </w:pPr>
          </w:p>
        </w:tc>
        <w:tc>
          <w:tcPr>
            <w:tcW w:w="1825" w:type="pct"/>
            <w:tcBorders>
              <w:left w:val="single" w:sz="4" w:space="0" w:color="auto"/>
            </w:tcBorders>
          </w:tcPr>
          <w:p w:rsidR="00957285"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 xml:space="preserve">- </w:t>
            </w:r>
            <w:r w:rsidRPr="007B4B0B">
              <w:rPr>
                <w:sz w:val="23"/>
                <w:szCs w:val="23"/>
                <w:lang w:bidi="ru-RU"/>
              </w:rPr>
              <w:t>твердые сыпучие реагенты</w:t>
            </w:r>
          </w:p>
        </w:tc>
        <w:tc>
          <w:tcPr>
            <w:tcW w:w="1538" w:type="pct"/>
            <w:tcBorders>
              <w:right w:val="single" w:sz="4" w:space="0" w:color="auto"/>
            </w:tcBorders>
          </w:tcPr>
          <w:p w:rsidR="00957285"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тыс. тонн</w:t>
            </w:r>
          </w:p>
        </w:tc>
        <w:tc>
          <w:tcPr>
            <w:tcW w:w="1194" w:type="pct"/>
            <w:tcBorders>
              <w:left w:val="single" w:sz="4" w:space="0" w:color="auto"/>
              <w:right w:val="single" w:sz="4" w:space="0" w:color="auto"/>
            </w:tcBorders>
          </w:tcPr>
          <w:p w:rsidR="00957285" w:rsidRPr="007B4B0B" w:rsidRDefault="00957285" w:rsidP="003256EB">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tcBorders>
              <w:left w:val="single" w:sz="4" w:space="0" w:color="auto"/>
              <w:bottom w:val="single" w:sz="4" w:space="0" w:color="auto"/>
              <w:right w:val="single" w:sz="4" w:space="0" w:color="auto"/>
            </w:tcBorders>
          </w:tcPr>
          <w:p w:rsidR="00957285" w:rsidRPr="007B4B0B" w:rsidRDefault="00957285" w:rsidP="00957285">
            <w:pPr>
              <w:widowControl w:val="0"/>
              <w:tabs>
                <w:tab w:val="left" w:pos="1418"/>
              </w:tabs>
              <w:autoSpaceDE w:val="0"/>
              <w:autoSpaceDN w:val="0"/>
              <w:rPr>
                <w:sz w:val="23"/>
                <w:szCs w:val="23"/>
                <w:lang w:bidi="ru-RU"/>
              </w:rPr>
            </w:pPr>
          </w:p>
        </w:tc>
        <w:tc>
          <w:tcPr>
            <w:tcW w:w="1825" w:type="pct"/>
            <w:tcBorders>
              <w:left w:val="single" w:sz="4" w:space="0" w:color="auto"/>
              <w:bottom w:val="single" w:sz="4" w:space="0" w:color="auto"/>
            </w:tcBorders>
          </w:tcPr>
          <w:p w:rsidR="00957285" w:rsidRPr="007B4B0B" w:rsidRDefault="00957285" w:rsidP="00CE279B">
            <w:pPr>
              <w:widowControl w:val="0"/>
              <w:tabs>
                <w:tab w:val="left" w:pos="1418"/>
              </w:tabs>
              <w:autoSpaceDE w:val="0"/>
              <w:autoSpaceDN w:val="0"/>
              <w:jc w:val="left"/>
              <w:rPr>
                <w:rFonts w:eastAsia="Calibri"/>
                <w:sz w:val="23"/>
                <w:szCs w:val="23"/>
                <w:lang w:eastAsia="en-US" w:bidi="ru-RU"/>
              </w:rPr>
            </w:pPr>
          </w:p>
        </w:tc>
        <w:tc>
          <w:tcPr>
            <w:tcW w:w="1538" w:type="pct"/>
            <w:tcBorders>
              <w:bottom w:val="single" w:sz="4" w:space="0" w:color="auto"/>
              <w:right w:val="single" w:sz="4" w:space="0" w:color="auto"/>
            </w:tcBorders>
          </w:tcPr>
          <w:p w:rsidR="00957285"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заготовлено, тыс. тонн, %</w:t>
            </w:r>
          </w:p>
        </w:tc>
        <w:tc>
          <w:tcPr>
            <w:tcW w:w="1194" w:type="pct"/>
            <w:tcBorders>
              <w:left w:val="single" w:sz="4" w:space="0" w:color="auto"/>
              <w:bottom w:val="single" w:sz="4" w:space="0" w:color="auto"/>
              <w:right w:val="single" w:sz="4" w:space="0" w:color="auto"/>
            </w:tcBorders>
          </w:tcPr>
          <w:p w:rsidR="00957285" w:rsidRPr="007B4B0B" w:rsidRDefault="00957285" w:rsidP="003256E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0A6182" w:rsidRPr="007B4B0B" w:rsidRDefault="000A6182" w:rsidP="002C4B3E">
            <w:pPr>
              <w:pStyle w:val="af6"/>
              <w:widowControl w:val="0"/>
              <w:numPr>
                <w:ilvl w:val="1"/>
                <w:numId w:val="432"/>
              </w:numPr>
              <w:tabs>
                <w:tab w:val="left" w:pos="1418"/>
              </w:tabs>
              <w:autoSpaceDE w:val="0"/>
              <w:autoSpaceDN w:val="0"/>
              <w:ind w:hanging="27"/>
              <w:rPr>
                <w:sz w:val="23"/>
                <w:szCs w:val="23"/>
                <w:lang w:bidi="ru-RU"/>
              </w:rPr>
            </w:pPr>
          </w:p>
        </w:tc>
        <w:tc>
          <w:tcPr>
            <w:tcW w:w="3363" w:type="pct"/>
            <w:gridSpan w:val="2"/>
            <w:tcBorders>
              <w:top w:val="single" w:sz="4" w:space="0" w:color="auto"/>
              <w:left w:val="single" w:sz="4" w:space="0" w:color="auto"/>
              <w:bottom w:val="single" w:sz="4" w:space="0" w:color="auto"/>
              <w:right w:val="single" w:sz="4" w:space="0" w:color="auto"/>
            </w:tcBorders>
          </w:tcPr>
          <w:p w:rsidR="000A6182" w:rsidRPr="007B4B0B" w:rsidRDefault="000A6182" w:rsidP="00CE279B">
            <w:pPr>
              <w:widowControl w:val="0"/>
              <w:tabs>
                <w:tab w:val="left" w:pos="1418"/>
              </w:tabs>
              <w:autoSpaceDE w:val="0"/>
              <w:autoSpaceDN w:val="0"/>
              <w:jc w:val="left"/>
              <w:rPr>
                <w:sz w:val="23"/>
                <w:szCs w:val="23"/>
                <w:lang w:bidi="ru-RU"/>
              </w:rPr>
            </w:pPr>
            <w:r w:rsidRPr="007B4B0B">
              <w:rPr>
                <w:sz w:val="23"/>
                <w:szCs w:val="23"/>
                <w:lang w:bidi="ru-RU"/>
              </w:rPr>
              <w:t>Химические противогололедные материалы, %:</w:t>
            </w:r>
          </w:p>
        </w:tc>
        <w:tc>
          <w:tcPr>
            <w:tcW w:w="1194" w:type="pct"/>
            <w:tcBorders>
              <w:top w:val="single" w:sz="4" w:space="0" w:color="auto"/>
              <w:left w:val="single" w:sz="4" w:space="0" w:color="auto"/>
              <w:bottom w:val="single" w:sz="4" w:space="0" w:color="auto"/>
              <w:right w:val="single" w:sz="4" w:space="0" w:color="auto"/>
            </w:tcBorders>
          </w:tcPr>
          <w:p w:rsidR="000A6182" w:rsidRPr="007B4B0B" w:rsidRDefault="000A6182" w:rsidP="003256E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val="restart"/>
            <w:tcBorders>
              <w:top w:val="single" w:sz="4" w:space="0" w:color="auto"/>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 xml:space="preserve">- </w:t>
            </w:r>
            <w:r w:rsidRPr="007B4B0B">
              <w:rPr>
                <w:sz w:val="23"/>
                <w:szCs w:val="23"/>
                <w:lang w:bidi="ru-RU"/>
              </w:rPr>
              <w:t>твердые сыпучие реагенты</w:t>
            </w:r>
          </w:p>
        </w:tc>
        <w:tc>
          <w:tcPr>
            <w:tcW w:w="1538" w:type="pct"/>
            <w:tcBorders>
              <w:top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тыс. тонн</w:t>
            </w:r>
          </w:p>
        </w:tc>
        <w:tc>
          <w:tcPr>
            <w:tcW w:w="1194" w:type="pct"/>
            <w:tcBorders>
              <w:top w:val="single" w:sz="4" w:space="0" w:color="auto"/>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заготовлено, тыс. тонн, %</w:t>
            </w:r>
          </w:p>
          <w:p w:rsidR="000A6182" w:rsidRPr="007B4B0B" w:rsidRDefault="000A6182" w:rsidP="00CE279B">
            <w:pPr>
              <w:widowControl w:val="0"/>
              <w:tabs>
                <w:tab w:val="left" w:pos="1418"/>
              </w:tabs>
              <w:autoSpaceDE w:val="0"/>
              <w:autoSpaceDN w:val="0"/>
              <w:jc w:val="left"/>
              <w:rPr>
                <w:sz w:val="23"/>
                <w:szCs w:val="23"/>
                <w:lang w:bidi="ru-RU"/>
              </w:rPr>
            </w:pP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val="restart"/>
            <w:tcBorders>
              <w:left w:val="single" w:sz="4" w:space="0" w:color="auto"/>
            </w:tcBorders>
          </w:tcPr>
          <w:p w:rsidR="00CE279B" w:rsidRPr="007B4B0B" w:rsidRDefault="00CE279B" w:rsidP="000A6182">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 жидкие ПГМ (по потребности)        годовой объем применения</w:t>
            </w: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тыс. тонн</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tcBorders>
              <w:left w:val="single" w:sz="4" w:space="0" w:color="auto"/>
              <w:bottom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заготовлено, тыс. тонн, %</w:t>
            </w:r>
          </w:p>
        </w:tc>
        <w:tc>
          <w:tcPr>
            <w:tcW w:w="1194"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0A6182" w:rsidRPr="007B4B0B" w:rsidRDefault="000A6182" w:rsidP="002C4B3E">
            <w:pPr>
              <w:pStyle w:val="af6"/>
              <w:widowControl w:val="0"/>
              <w:numPr>
                <w:ilvl w:val="0"/>
                <w:numId w:val="432"/>
              </w:numPr>
              <w:tabs>
                <w:tab w:val="left" w:pos="1418"/>
              </w:tabs>
              <w:autoSpaceDE w:val="0"/>
              <w:autoSpaceDN w:val="0"/>
              <w:rPr>
                <w:sz w:val="23"/>
                <w:szCs w:val="23"/>
                <w:lang w:bidi="ru-RU"/>
              </w:rPr>
            </w:pPr>
          </w:p>
        </w:tc>
        <w:tc>
          <w:tcPr>
            <w:tcW w:w="3363" w:type="pct"/>
            <w:gridSpan w:val="2"/>
            <w:tcBorders>
              <w:top w:val="single" w:sz="4" w:space="0" w:color="auto"/>
              <w:left w:val="single" w:sz="4" w:space="0" w:color="auto"/>
              <w:right w:val="single" w:sz="4" w:space="0" w:color="auto"/>
            </w:tcBorders>
          </w:tcPr>
          <w:p w:rsidR="000A6182" w:rsidRPr="007B4B0B" w:rsidRDefault="000A6182"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Наличие и готовность пескобаз по типам:</w:t>
            </w:r>
          </w:p>
        </w:tc>
        <w:tc>
          <w:tcPr>
            <w:tcW w:w="1194" w:type="pct"/>
            <w:tcBorders>
              <w:top w:val="single" w:sz="4" w:space="0" w:color="auto"/>
              <w:left w:val="single" w:sz="4" w:space="0" w:color="auto"/>
              <w:right w:val="single" w:sz="4" w:space="0" w:color="auto"/>
            </w:tcBorders>
          </w:tcPr>
          <w:p w:rsidR="000A6182" w:rsidRPr="007B4B0B" w:rsidRDefault="000A6182"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val="restart"/>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 бункерные</w:t>
            </w: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val="restart"/>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 склады ПГМ</w:t>
            </w: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val="restart"/>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 прочие</w:t>
            </w: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vMerge/>
            <w:tcBorders>
              <w:left w:val="single" w:sz="4" w:space="0" w:color="auto"/>
              <w:bottom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CE279B"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CE279B" w:rsidRPr="007B4B0B" w:rsidRDefault="00CE279B" w:rsidP="002C4B3E">
            <w:pPr>
              <w:pStyle w:val="af6"/>
              <w:widowControl w:val="0"/>
              <w:numPr>
                <w:ilvl w:val="0"/>
                <w:numId w:val="432"/>
              </w:numPr>
              <w:tabs>
                <w:tab w:val="left" w:pos="1418"/>
              </w:tabs>
              <w:autoSpaceDE w:val="0"/>
              <w:autoSpaceDN w:val="0"/>
              <w:rPr>
                <w:sz w:val="23"/>
                <w:szCs w:val="23"/>
                <w:lang w:bidi="ru-RU"/>
              </w:rPr>
            </w:pPr>
          </w:p>
        </w:tc>
        <w:tc>
          <w:tcPr>
            <w:tcW w:w="3363" w:type="pct"/>
            <w:gridSpan w:val="2"/>
            <w:tcBorders>
              <w:top w:val="single" w:sz="4" w:space="0" w:color="auto"/>
              <w:left w:val="single" w:sz="4" w:space="0" w:color="auto"/>
              <w:bottom w:val="single" w:sz="4" w:space="0" w:color="auto"/>
              <w:right w:val="single" w:sz="4" w:space="0" w:color="auto"/>
            </w:tcBorders>
          </w:tcPr>
          <w:p w:rsidR="00CE279B" w:rsidRPr="007B4B0B" w:rsidRDefault="00CE279B" w:rsidP="000A6182">
            <w:pPr>
              <w:widowControl w:val="0"/>
              <w:tabs>
                <w:tab w:val="left" w:pos="1418"/>
              </w:tabs>
              <w:autoSpaceDE w:val="0"/>
              <w:autoSpaceDN w:val="0"/>
              <w:jc w:val="left"/>
              <w:rPr>
                <w:sz w:val="23"/>
                <w:szCs w:val="23"/>
                <w:lang w:bidi="ru-RU"/>
              </w:rPr>
            </w:pPr>
            <w:r w:rsidRPr="007B4B0B">
              <w:rPr>
                <w:rFonts w:eastAsia="Calibri"/>
                <w:sz w:val="23"/>
                <w:szCs w:val="23"/>
                <w:lang w:eastAsia="en-US" w:bidi="ru-RU"/>
              </w:rPr>
              <w:t>Среднее расстояние</w:t>
            </w:r>
            <w:r w:rsidR="000A6182" w:rsidRPr="007B4B0B">
              <w:rPr>
                <w:rFonts w:eastAsia="Calibri"/>
                <w:sz w:val="23"/>
                <w:szCs w:val="23"/>
                <w:lang w:eastAsia="en-US" w:bidi="ru-RU"/>
              </w:rPr>
              <w:t xml:space="preserve"> между </w:t>
            </w:r>
            <w:r w:rsidRPr="007B4B0B">
              <w:rPr>
                <w:rFonts w:eastAsia="Calibri"/>
                <w:sz w:val="23"/>
                <w:szCs w:val="23"/>
                <w:lang w:eastAsia="en-US" w:bidi="ru-RU"/>
              </w:rPr>
              <w:t>пескобазами, км</w:t>
            </w:r>
          </w:p>
        </w:tc>
        <w:tc>
          <w:tcPr>
            <w:tcW w:w="1194" w:type="pct"/>
            <w:tcBorders>
              <w:top w:val="single" w:sz="4" w:space="0" w:color="auto"/>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CE279B" w:rsidRPr="007B4B0B" w:rsidRDefault="00CE279B" w:rsidP="002C4B3E">
            <w:pPr>
              <w:pStyle w:val="af6"/>
              <w:widowControl w:val="0"/>
              <w:numPr>
                <w:ilvl w:val="0"/>
                <w:numId w:val="432"/>
              </w:numPr>
              <w:tabs>
                <w:tab w:val="left" w:pos="1418"/>
              </w:tabs>
              <w:autoSpaceDE w:val="0"/>
              <w:autoSpaceDN w:val="0"/>
              <w:rPr>
                <w:sz w:val="23"/>
                <w:szCs w:val="23"/>
                <w:lang w:bidi="ru-RU"/>
              </w:rPr>
            </w:pPr>
          </w:p>
        </w:tc>
        <w:tc>
          <w:tcPr>
            <w:tcW w:w="3363" w:type="pct"/>
            <w:gridSpan w:val="2"/>
            <w:tcBorders>
              <w:top w:val="single" w:sz="4" w:space="0" w:color="auto"/>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Наличие, потребность</w:t>
            </w:r>
            <w:r w:rsidRPr="007B4B0B">
              <w:rPr>
                <w:rFonts w:eastAsia="Calibri"/>
                <w:sz w:val="23"/>
                <w:szCs w:val="23"/>
                <w:vertAlign w:val="superscript"/>
                <w:lang w:eastAsia="en-US" w:bidi="ru-RU"/>
              </w:rPr>
              <w:footnoteReference w:id="1"/>
            </w:r>
            <w:r w:rsidRPr="007B4B0B">
              <w:rPr>
                <w:rFonts w:eastAsia="Calibri"/>
                <w:sz w:val="23"/>
                <w:szCs w:val="23"/>
                <w:lang w:eastAsia="en-US" w:bidi="ru-RU"/>
              </w:rPr>
              <w:t xml:space="preserve">  и готовность техники, зан</w:t>
            </w:r>
            <w:r w:rsidR="000A6182" w:rsidRPr="007B4B0B">
              <w:rPr>
                <w:rFonts w:eastAsia="Calibri"/>
                <w:sz w:val="23"/>
                <w:szCs w:val="23"/>
                <w:lang w:eastAsia="en-US" w:bidi="ru-RU"/>
              </w:rPr>
              <w:t>ятой на зимнем содержании дорог</w:t>
            </w:r>
          </w:p>
        </w:tc>
        <w:tc>
          <w:tcPr>
            <w:tcW w:w="1194" w:type="pct"/>
            <w:tcBorders>
              <w:top w:val="single" w:sz="4" w:space="0" w:color="auto"/>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Height w:val="379"/>
        </w:trPr>
        <w:tc>
          <w:tcPr>
            <w:tcW w:w="443" w:type="pct"/>
            <w:tcBorders>
              <w:top w:val="single" w:sz="4" w:space="0" w:color="auto"/>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всего:</w:t>
            </w:r>
          </w:p>
        </w:tc>
        <w:tc>
          <w:tcPr>
            <w:tcW w:w="1538" w:type="pct"/>
            <w:tcBorders>
              <w:top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rPr>
                <w:sz w:val="23"/>
                <w:szCs w:val="23"/>
                <w:lang w:bidi="ru-RU"/>
              </w:rPr>
            </w:pPr>
          </w:p>
        </w:tc>
        <w:tc>
          <w:tcPr>
            <w:tcW w:w="1825" w:type="pct"/>
            <w:tcBorders>
              <w:left w:val="single" w:sz="4" w:space="0" w:color="auto"/>
              <w:bottom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sz w:val="23"/>
                <w:szCs w:val="23"/>
                <w:lang w:eastAsia="en-US" w:bidi="ru-RU"/>
              </w:rPr>
              <w:t>в том числе:</w:t>
            </w:r>
          </w:p>
          <w:p w:rsidR="00CE279B" w:rsidRPr="007B4B0B" w:rsidRDefault="00CE279B" w:rsidP="00CE279B">
            <w:pPr>
              <w:widowControl w:val="0"/>
              <w:tabs>
                <w:tab w:val="left" w:pos="1418"/>
                <w:tab w:val="left" w:pos="4015"/>
              </w:tabs>
              <w:autoSpaceDE w:val="0"/>
              <w:autoSpaceDN w:val="0"/>
              <w:jc w:val="left"/>
              <w:rPr>
                <w:rFonts w:eastAsia="Calibri"/>
                <w:sz w:val="23"/>
                <w:szCs w:val="23"/>
                <w:lang w:eastAsia="en-US" w:bidi="ru-RU"/>
              </w:rPr>
            </w:pPr>
            <w:r w:rsidRPr="007B4B0B">
              <w:rPr>
                <w:rFonts w:eastAsia="Calibri"/>
                <w:sz w:val="23"/>
                <w:szCs w:val="23"/>
                <w:lang w:eastAsia="en-US" w:bidi="ru-RU"/>
              </w:rPr>
              <w:t>- КДМ</w:t>
            </w:r>
          </w:p>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top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CE279B" w:rsidRPr="007B4B0B" w:rsidRDefault="00CE279B" w:rsidP="00CE279B">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 Автогрейдеры</w:t>
            </w:r>
          </w:p>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top w:val="single" w:sz="4" w:space="0" w:color="auto"/>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CE279B" w:rsidRPr="007B4B0B" w:rsidRDefault="00CE279B" w:rsidP="00CE279B">
            <w:pPr>
              <w:widowControl w:val="0"/>
              <w:tabs>
                <w:tab w:val="left" w:pos="1418"/>
              </w:tabs>
              <w:autoSpaceDE w:val="0"/>
              <w:autoSpaceDN w:val="0"/>
              <w:jc w:val="left"/>
              <w:rPr>
                <w:rFonts w:eastAsia="Calibri"/>
                <w:sz w:val="23"/>
                <w:szCs w:val="23"/>
                <w:lang w:eastAsia="en-US" w:bidi="ru-RU"/>
              </w:rPr>
            </w:pPr>
          </w:p>
        </w:tc>
        <w:tc>
          <w:tcPr>
            <w:tcW w:w="1538" w:type="pct"/>
            <w:tcBorders>
              <w:right w:val="single" w:sz="4" w:space="0" w:color="auto"/>
            </w:tcBorders>
          </w:tcPr>
          <w:p w:rsidR="00CE279B" w:rsidRPr="007B4B0B" w:rsidRDefault="00CE279B" w:rsidP="00CE279B">
            <w:pPr>
              <w:widowControl w:val="0"/>
              <w:tabs>
                <w:tab w:val="left" w:pos="1418"/>
              </w:tabs>
              <w:autoSpaceDE w:val="0"/>
              <w:autoSpaceDN w:val="0"/>
              <w:jc w:val="left"/>
              <w:rPr>
                <w:sz w:val="23"/>
                <w:szCs w:val="23"/>
                <w:lang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CE279B" w:rsidRPr="007B4B0B" w:rsidRDefault="00CE279B" w:rsidP="00CE279B">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CE279B" w:rsidRPr="007B4B0B" w:rsidRDefault="00CE279B" w:rsidP="00CE279B">
            <w:pPr>
              <w:widowControl w:val="0"/>
              <w:tabs>
                <w:tab w:val="left" w:pos="1418"/>
              </w:tabs>
              <w:autoSpaceDE w:val="0"/>
              <w:autoSpaceDN w:val="0"/>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CE279B" w:rsidRPr="007B4B0B" w:rsidRDefault="00CE279B" w:rsidP="00CE279B">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CE279B" w:rsidRPr="007B4B0B" w:rsidRDefault="00CE279B" w:rsidP="00CE279B">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 Экскаваторы</w:t>
            </w:r>
          </w:p>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 Погрузчики</w:t>
            </w:r>
          </w:p>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 Бульдозеры</w:t>
            </w:r>
          </w:p>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Height w:hRule="exact" w:val="394"/>
        </w:trPr>
        <w:tc>
          <w:tcPr>
            <w:tcW w:w="443" w:type="pct"/>
            <w:tcBorders>
              <w:top w:val="single" w:sz="4" w:space="0" w:color="auto"/>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autoSpaceDE w:val="0"/>
              <w:autoSpaceDN w:val="0"/>
              <w:rPr>
                <w:rFonts w:eastAsia="Calibri"/>
                <w:sz w:val="23"/>
                <w:szCs w:val="23"/>
                <w:lang w:eastAsia="en-US" w:bidi="ru-RU"/>
              </w:rPr>
            </w:pPr>
            <w:r w:rsidRPr="007B4B0B">
              <w:rPr>
                <w:rFonts w:eastAsia="Calibri"/>
                <w:sz w:val="23"/>
                <w:szCs w:val="23"/>
                <w:lang w:eastAsia="en-US" w:bidi="ru-RU"/>
              </w:rPr>
              <w:t>-Колесные трактора со снегоочистительным оборудованием</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r w:rsidRPr="007B4B0B">
              <w:rPr>
                <w:rFonts w:eastAsia="Calibri"/>
                <w:i/>
                <w:iCs/>
                <w:sz w:val="23"/>
                <w:szCs w:val="23"/>
                <w:lang w:eastAsia="en-US" w:bidi="ru-RU"/>
              </w:rPr>
              <w:t xml:space="preserve">- </w:t>
            </w:r>
            <w:r w:rsidRPr="007B4B0B">
              <w:rPr>
                <w:rFonts w:eastAsia="Calibri"/>
                <w:iCs/>
                <w:sz w:val="23"/>
                <w:szCs w:val="23"/>
                <w:lang w:eastAsia="en-US" w:bidi="ru-RU"/>
              </w:rPr>
              <w:t>Тягачи</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 w:val="left" w:pos="5040"/>
              </w:tabs>
              <w:autoSpaceDE w:val="0"/>
              <w:autoSpaceDN w:val="0"/>
              <w:rPr>
                <w:rFonts w:eastAsia="Calibri"/>
                <w:sz w:val="23"/>
                <w:szCs w:val="23"/>
                <w:lang w:eastAsia="en-US" w:bidi="ru-RU"/>
              </w:rPr>
            </w:pPr>
            <w:r w:rsidRPr="007B4B0B">
              <w:rPr>
                <w:rFonts w:eastAsia="Calibri"/>
                <w:sz w:val="23"/>
                <w:szCs w:val="23"/>
                <w:lang w:eastAsia="en-US" w:bidi="ru-RU"/>
              </w:rPr>
              <w:t>- Роторные снегоочистители</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потребность,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iCs/>
                <w:sz w:val="23"/>
                <w:szCs w:val="23"/>
                <w:lang w:eastAsia="en-US" w:bidi="ru-RU"/>
              </w:rPr>
              <w:t>оснащенность системой ГЛОНАСС/</w:t>
            </w:r>
            <w:r w:rsidRPr="007B4B0B">
              <w:rPr>
                <w:rFonts w:eastAsia="Calibri"/>
                <w:iCs/>
                <w:sz w:val="23"/>
                <w:szCs w:val="23"/>
                <w:lang w:val="en-US" w:eastAsia="en-US" w:bidi="ru-RU"/>
              </w:rPr>
              <w:t>GPS</w:t>
            </w: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vMerge w:val="restar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r w:rsidRPr="007B4B0B">
              <w:rPr>
                <w:rFonts w:eastAsia="Calibri"/>
                <w:sz w:val="23"/>
                <w:szCs w:val="23"/>
                <w:lang w:eastAsia="en-US" w:bidi="ru-RU"/>
              </w:rPr>
              <w:t>Готовность теплых стоянок для техники:</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vMerge/>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vMerge w:val="restar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r w:rsidRPr="007B4B0B">
              <w:rPr>
                <w:rFonts w:eastAsia="Calibri"/>
                <w:sz w:val="23"/>
                <w:szCs w:val="23"/>
                <w:lang w:eastAsia="en-US" w:bidi="ru-RU"/>
              </w:rPr>
              <w:t>Готовность помещений для отдыха и обогрева рабочих и водителей:</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vMerge/>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vMerge w:val="restar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r w:rsidRPr="007B4B0B">
              <w:rPr>
                <w:rFonts w:eastAsia="Calibri"/>
                <w:sz w:val="23"/>
                <w:szCs w:val="23"/>
                <w:lang w:eastAsia="en-US" w:bidi="ru-RU"/>
              </w:rPr>
              <w:t>Готовность отопительных систем помещений:</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vMerge/>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bl>
    <w:p w:rsidR="002021A3" w:rsidRPr="007B4B0B" w:rsidRDefault="002021A3"/>
    <w:tbl>
      <w:tblPr>
        <w:tblStyle w:val="af2"/>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8"/>
        <w:gridCol w:w="3535"/>
        <w:gridCol w:w="2979"/>
        <w:gridCol w:w="2313"/>
      </w:tblGrid>
      <w:tr w:rsidR="00001B1F" w:rsidRPr="007B4B0B" w:rsidTr="00A03517">
        <w:trPr>
          <w:cantSplit/>
        </w:trPr>
        <w:tc>
          <w:tcPr>
            <w:tcW w:w="443" w:type="pct"/>
            <w:vMerge w:val="restar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 xml:space="preserve">Готовность водопропускных труб </w:t>
            </w:r>
            <w:r w:rsidR="002021A3" w:rsidRPr="007B4B0B">
              <w:rPr>
                <w:rFonts w:eastAsia="Calibri"/>
                <w:sz w:val="23"/>
                <w:szCs w:val="23"/>
                <w:lang w:eastAsia="en-US" w:bidi="ru-RU"/>
              </w:rPr>
              <w:t>к работе в зимних условиях:</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vMerge/>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vMerge w:val="restar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r w:rsidRPr="007B4B0B">
              <w:rPr>
                <w:rFonts w:eastAsia="Calibri"/>
                <w:sz w:val="23"/>
                <w:szCs w:val="23"/>
                <w:lang w:eastAsia="en-US" w:bidi="ru-RU"/>
              </w:rPr>
              <w:t>Готовность водоотводных сооружений (лотки, быстротоки, кюветы):</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vMerge/>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vMerge w:val="restar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1825" w:type="pct"/>
            <w:vMerge w:val="restart"/>
            <w:tcBorders>
              <w:top w:val="single" w:sz="4" w:space="0" w:color="auto"/>
              <w:lef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 xml:space="preserve">Готовность </w:t>
            </w:r>
            <w:r w:rsidRPr="007B4B0B">
              <w:rPr>
                <w:sz w:val="23"/>
                <w:szCs w:val="23"/>
                <w:lang w:bidi="ru-RU"/>
              </w:rPr>
              <w:t>временных снегозадерживающих устройств (щитов, изгородей и др.):</w:t>
            </w:r>
          </w:p>
        </w:tc>
        <w:tc>
          <w:tcPr>
            <w:tcW w:w="1538" w:type="pct"/>
            <w:tcBorders>
              <w:top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наличие, шт.</w:t>
            </w:r>
          </w:p>
        </w:tc>
        <w:tc>
          <w:tcPr>
            <w:tcW w:w="1194" w:type="pct"/>
            <w:tcBorders>
              <w:top w:val="single" w:sz="4" w:space="0" w:color="auto"/>
              <w:left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vMerge/>
            <w:tcBorders>
              <w:left w:val="single" w:sz="4" w:space="0" w:color="auto"/>
              <w:bottom w:val="single" w:sz="4" w:space="0" w:color="auto"/>
              <w:right w:val="single" w:sz="4" w:space="0" w:color="auto"/>
            </w:tcBorders>
          </w:tcPr>
          <w:p w:rsidR="00001B1F" w:rsidRPr="007B4B0B" w:rsidRDefault="00001B1F" w:rsidP="00001B1F">
            <w:pPr>
              <w:pStyle w:val="af6"/>
              <w:widowControl w:val="0"/>
              <w:tabs>
                <w:tab w:val="left" w:pos="1418"/>
              </w:tabs>
              <w:autoSpaceDE w:val="0"/>
              <w:autoSpaceDN w:val="0"/>
              <w:ind w:left="360"/>
              <w:rPr>
                <w:sz w:val="23"/>
                <w:szCs w:val="23"/>
                <w:lang w:bidi="ru-RU"/>
              </w:rPr>
            </w:pPr>
          </w:p>
        </w:tc>
        <w:tc>
          <w:tcPr>
            <w:tcW w:w="1825" w:type="pct"/>
            <w:vMerge/>
            <w:tcBorders>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iCs/>
                <w:sz w:val="23"/>
                <w:szCs w:val="23"/>
                <w:lang w:eastAsia="en-US" w:bidi="ru-RU"/>
              </w:rPr>
            </w:pPr>
          </w:p>
        </w:tc>
        <w:tc>
          <w:tcPr>
            <w:tcW w:w="1538" w:type="pct"/>
            <w:tcBorders>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шт./%</w:t>
            </w:r>
          </w:p>
        </w:tc>
        <w:tc>
          <w:tcPr>
            <w:tcW w:w="1194" w:type="pct"/>
            <w:tcBorders>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1825" w:type="pct"/>
            <w:tcBorders>
              <w:top w:val="single" w:sz="4" w:space="0" w:color="auto"/>
              <w:left w:val="single" w:sz="4" w:space="0" w:color="auto"/>
              <w:bottom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 xml:space="preserve">Установка </w:t>
            </w:r>
            <w:r w:rsidRPr="007B4B0B">
              <w:rPr>
                <w:sz w:val="23"/>
                <w:szCs w:val="23"/>
                <w:lang w:bidi="ru-RU"/>
              </w:rPr>
              <w:t>временных снегозадерживающих устройств (щитов, изгородей и др.)</w:t>
            </w:r>
          </w:p>
        </w:tc>
        <w:tc>
          <w:tcPr>
            <w:tcW w:w="1538" w:type="pct"/>
            <w:tcBorders>
              <w:top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готовность, пог. м/%</w:t>
            </w:r>
          </w:p>
        </w:tc>
        <w:tc>
          <w:tcPr>
            <w:tcW w:w="1194" w:type="pct"/>
            <w:tcBorders>
              <w:top w:val="single" w:sz="4" w:space="0" w:color="auto"/>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01B1F" w:rsidRPr="007B4B0B" w:rsidTr="00A03517">
        <w:trPr>
          <w:cantSplit/>
        </w:trPr>
        <w:tc>
          <w:tcPr>
            <w:tcW w:w="443" w:type="pct"/>
            <w:tcBorders>
              <w:top w:val="single" w:sz="4" w:space="0" w:color="auto"/>
              <w:left w:val="single" w:sz="4" w:space="0" w:color="auto"/>
              <w:bottom w:val="single" w:sz="4" w:space="0" w:color="auto"/>
              <w:right w:val="single" w:sz="4" w:space="0" w:color="auto"/>
            </w:tcBorders>
          </w:tcPr>
          <w:p w:rsidR="00001B1F" w:rsidRPr="007B4B0B" w:rsidRDefault="00001B1F" w:rsidP="002C4B3E">
            <w:pPr>
              <w:pStyle w:val="af6"/>
              <w:widowControl w:val="0"/>
              <w:numPr>
                <w:ilvl w:val="0"/>
                <w:numId w:val="432"/>
              </w:numPr>
              <w:tabs>
                <w:tab w:val="left" w:pos="1418"/>
              </w:tabs>
              <w:autoSpaceDE w:val="0"/>
              <w:autoSpaceDN w:val="0"/>
              <w:rPr>
                <w:sz w:val="23"/>
                <w:szCs w:val="23"/>
                <w:lang w:bidi="ru-RU"/>
              </w:rPr>
            </w:pPr>
          </w:p>
        </w:tc>
        <w:tc>
          <w:tcPr>
            <w:tcW w:w="3363" w:type="pct"/>
            <w:gridSpan w:val="2"/>
            <w:tcBorders>
              <w:top w:val="single" w:sz="4" w:space="0" w:color="auto"/>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r w:rsidRPr="007B4B0B">
              <w:rPr>
                <w:rFonts w:eastAsia="Calibri"/>
                <w:sz w:val="23"/>
                <w:szCs w:val="23"/>
                <w:lang w:eastAsia="en-US" w:bidi="ru-RU"/>
              </w:rPr>
              <w:t>Согласованный и утвержденный проект производства работ,</w:t>
            </w:r>
            <w:r w:rsidRPr="007B4B0B">
              <w:rPr>
                <w:sz w:val="23"/>
                <w:szCs w:val="23"/>
                <w:lang w:bidi="ru-RU"/>
              </w:rPr>
              <w:t xml:space="preserve"> </w:t>
            </w:r>
            <w:r w:rsidRPr="007B4B0B">
              <w:rPr>
                <w:rFonts w:eastAsia="Calibri"/>
                <w:sz w:val="23"/>
                <w:szCs w:val="23"/>
                <w:lang w:eastAsia="en-US" w:bidi="ru-RU"/>
              </w:rPr>
              <w:t>включающий актуализированный раздел «Содержание Объекта в зимний период эксплуатации», да/нет</w:t>
            </w:r>
          </w:p>
        </w:tc>
        <w:tc>
          <w:tcPr>
            <w:tcW w:w="1194" w:type="pct"/>
            <w:tcBorders>
              <w:top w:val="single" w:sz="4" w:space="0" w:color="auto"/>
              <w:left w:val="single" w:sz="4" w:space="0" w:color="auto"/>
              <w:bottom w:val="single" w:sz="4" w:space="0" w:color="auto"/>
              <w:right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r w:rsidR="000A6182" w:rsidRPr="007B4B0B" w:rsidTr="00A03517">
        <w:trPr>
          <w:cantSplit/>
        </w:trPr>
        <w:tc>
          <w:tcPr>
            <w:tcW w:w="443" w:type="pct"/>
            <w:tcBorders>
              <w:top w:val="single" w:sz="4" w:space="0" w:color="auto"/>
            </w:tcBorders>
          </w:tcPr>
          <w:p w:rsidR="00001B1F" w:rsidRPr="007B4B0B" w:rsidRDefault="00001B1F" w:rsidP="00001B1F">
            <w:pPr>
              <w:widowControl w:val="0"/>
              <w:tabs>
                <w:tab w:val="left" w:pos="1418"/>
              </w:tabs>
              <w:autoSpaceDE w:val="0"/>
              <w:autoSpaceDN w:val="0"/>
              <w:rPr>
                <w:sz w:val="23"/>
                <w:szCs w:val="23"/>
                <w:lang w:bidi="ru-RU"/>
              </w:rPr>
            </w:pPr>
          </w:p>
        </w:tc>
        <w:tc>
          <w:tcPr>
            <w:tcW w:w="1825" w:type="pct"/>
            <w:tcBorders>
              <w:top w:val="single" w:sz="4" w:space="0" w:color="auto"/>
            </w:tcBorders>
          </w:tcPr>
          <w:p w:rsidR="00001B1F" w:rsidRPr="007B4B0B" w:rsidRDefault="00001B1F" w:rsidP="00001B1F">
            <w:pPr>
              <w:widowControl w:val="0"/>
              <w:tabs>
                <w:tab w:val="left" w:pos="1418"/>
              </w:tabs>
              <w:autoSpaceDE w:val="0"/>
              <w:autoSpaceDN w:val="0"/>
              <w:rPr>
                <w:rFonts w:eastAsia="Calibri"/>
                <w:sz w:val="23"/>
                <w:szCs w:val="23"/>
                <w:lang w:eastAsia="en-US" w:bidi="ru-RU"/>
              </w:rPr>
            </w:pPr>
          </w:p>
        </w:tc>
        <w:tc>
          <w:tcPr>
            <w:tcW w:w="1538" w:type="pct"/>
            <w:tcBorders>
              <w:top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c>
          <w:tcPr>
            <w:tcW w:w="1194" w:type="pct"/>
            <w:tcBorders>
              <w:top w:val="single" w:sz="4" w:space="0" w:color="auto"/>
            </w:tcBorders>
          </w:tcPr>
          <w:p w:rsidR="00001B1F" w:rsidRPr="007B4B0B" w:rsidRDefault="00001B1F" w:rsidP="00001B1F">
            <w:pPr>
              <w:widowControl w:val="0"/>
              <w:tabs>
                <w:tab w:val="left" w:pos="1418"/>
              </w:tabs>
              <w:autoSpaceDE w:val="0"/>
              <w:autoSpaceDN w:val="0"/>
              <w:jc w:val="center"/>
              <w:rPr>
                <w:sz w:val="23"/>
                <w:szCs w:val="23"/>
                <w:lang w:bidi="ru-RU"/>
              </w:rPr>
            </w:pPr>
          </w:p>
        </w:tc>
      </w:tr>
    </w:tbl>
    <w:p w:rsidR="003256EB" w:rsidRPr="007B4B0B" w:rsidRDefault="003256EB" w:rsidP="003256EB">
      <w:pPr>
        <w:widowControl w:val="0"/>
        <w:tabs>
          <w:tab w:val="left" w:pos="1418"/>
          <w:tab w:val="left" w:pos="2955"/>
        </w:tabs>
        <w:autoSpaceDE w:val="0"/>
        <w:autoSpaceDN w:val="0"/>
        <w:rPr>
          <w:bCs/>
          <w:sz w:val="23"/>
          <w:szCs w:val="23"/>
          <w:lang w:bidi="ru-RU"/>
        </w:rPr>
      </w:pPr>
      <w:r w:rsidRPr="007B4B0B">
        <w:rPr>
          <w:bCs/>
          <w:sz w:val="23"/>
          <w:szCs w:val="23"/>
          <w:lang w:bidi="ru-RU"/>
        </w:rPr>
        <w:t>Уполномоченный представитель Подрядчика ____________________________________</w:t>
      </w:r>
    </w:p>
    <w:p w:rsidR="003256EB" w:rsidRPr="007B4B0B" w:rsidRDefault="003256EB" w:rsidP="003256EB">
      <w:pPr>
        <w:widowControl w:val="0"/>
        <w:tabs>
          <w:tab w:val="left" w:pos="1418"/>
          <w:tab w:val="left" w:pos="2955"/>
        </w:tabs>
        <w:autoSpaceDE w:val="0"/>
        <w:autoSpaceDN w:val="0"/>
        <w:rPr>
          <w:bCs/>
          <w:i/>
          <w:iCs/>
          <w:sz w:val="21"/>
          <w:szCs w:val="15"/>
          <w:lang w:bidi="ru-RU"/>
        </w:rPr>
      </w:pPr>
      <w:r w:rsidRPr="007B4B0B">
        <w:rPr>
          <w:bCs/>
          <w:i/>
          <w:iCs/>
          <w:sz w:val="21"/>
          <w:szCs w:val="15"/>
          <w:lang w:bidi="ru-RU"/>
        </w:rPr>
        <w:tab/>
      </w:r>
      <w:r w:rsidRPr="007B4B0B">
        <w:rPr>
          <w:bCs/>
          <w:i/>
          <w:iCs/>
          <w:sz w:val="21"/>
          <w:szCs w:val="15"/>
          <w:lang w:bidi="ru-RU"/>
        </w:rPr>
        <w:tab/>
      </w:r>
      <w:r w:rsidRPr="007B4B0B">
        <w:rPr>
          <w:bCs/>
          <w:i/>
          <w:iCs/>
          <w:sz w:val="21"/>
          <w:szCs w:val="15"/>
          <w:lang w:bidi="ru-RU"/>
        </w:rPr>
        <w:tab/>
      </w:r>
      <w:r w:rsidRPr="007B4B0B">
        <w:rPr>
          <w:bCs/>
          <w:i/>
          <w:iCs/>
          <w:sz w:val="21"/>
          <w:szCs w:val="15"/>
          <w:lang w:bidi="ru-RU"/>
        </w:rPr>
        <w:tab/>
        <w:t xml:space="preserve">                (подпись)                 (Ф.И.О.)   М.П.</w:t>
      </w:r>
      <w:bookmarkStart w:id="1" w:name="_GoBack"/>
      <w:bookmarkEnd w:id="0"/>
      <w:bookmarkEnd w:id="1"/>
    </w:p>
    <w:sectPr w:rsidR="003256EB" w:rsidRPr="007B4B0B" w:rsidSect="002F21C1">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A1F" w:rsidRDefault="00214A1F" w:rsidP="00520FE2">
      <w:r>
        <w:separator/>
      </w:r>
    </w:p>
  </w:endnote>
  <w:endnote w:type="continuationSeparator" w:id="0">
    <w:p w:rsidR="00214A1F" w:rsidRDefault="00214A1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A1F" w:rsidRDefault="00214A1F" w:rsidP="00520FE2">
      <w:r>
        <w:separator/>
      </w:r>
    </w:p>
  </w:footnote>
  <w:footnote w:type="continuationSeparator" w:id="0">
    <w:p w:rsidR="00214A1F" w:rsidRDefault="00214A1F" w:rsidP="00520FE2">
      <w:r>
        <w:continuationSeparator/>
      </w:r>
    </w:p>
  </w:footnote>
  <w:footnote w:id="1">
    <w:p w:rsidR="001E205D" w:rsidRPr="001305A8" w:rsidRDefault="001E205D" w:rsidP="00CE279B">
      <w:pPr>
        <w:pStyle w:val="aff8"/>
      </w:pPr>
      <w:r w:rsidRPr="001305A8">
        <w:rPr>
          <w:rStyle w:val="affa"/>
        </w:rPr>
        <w:footnoteRef/>
      </w:r>
      <w:r w:rsidRPr="001305A8">
        <w:t xml:space="preserve"> Определяется в соответствии с рекомендациями «ОДМ 218.2.018-2012. Отраслевой дорожный методический документ. 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 (издан на основании Распоряжения Росавтодора 25.04.2012 N 203-р).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4A1F"/>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21C1"/>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328A7"/>
    <w:rsid w:val="00433CE3"/>
    <w:rsid w:val="00434EA1"/>
    <w:rsid w:val="00437394"/>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76F9-BC11-4247-8515-994B86D6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2025-11-24T14:48:00Z</dcterms:created>
  <dcterms:modified xsi:type="dcterms:W3CDTF">2025-11-24T14:48:00Z</dcterms:modified>
</cp:coreProperties>
</file>