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812"/>
        <w:jc w:val="center"/>
      </w:pPr>
      <w:r w:rsidRPr="007B4B0B">
        <w:t>УТВЕРЖДЕНО</w:t>
      </w:r>
    </w:p>
    <w:p w:rsidR="001B2474" w:rsidRPr="007B4B0B" w:rsidRDefault="001B2474" w:rsidP="006B3726">
      <w:pPr>
        <w:ind w:left="5812"/>
        <w:jc w:val="center"/>
      </w:pPr>
      <w:r w:rsidRPr="007B4B0B">
        <w:t>приказом Государственной компании</w:t>
      </w:r>
    </w:p>
    <w:p w:rsidR="001B2474" w:rsidRPr="007B4B0B" w:rsidRDefault="001B2474" w:rsidP="006B3726">
      <w:pPr>
        <w:ind w:left="5812"/>
        <w:jc w:val="center"/>
      </w:pPr>
      <w:r w:rsidRPr="007B4B0B">
        <w:t>«Российские автомобильные дороги»</w:t>
      </w:r>
    </w:p>
    <w:p w:rsidR="001B2474" w:rsidRPr="006B3726" w:rsidRDefault="0054569C" w:rsidP="006B3726">
      <w:pPr>
        <w:ind w:left="5812"/>
        <w:jc w:val="center"/>
      </w:pPr>
      <w:r>
        <w:t>от «21» ноября 2025 г. № 508</w:t>
      </w:r>
    </w:p>
    <w:p w:rsidR="001B2474" w:rsidRPr="007B4B0B" w:rsidRDefault="001B2474" w:rsidP="001B2474">
      <w:pPr>
        <w:widowControl w:val="0"/>
        <w:autoSpaceDE w:val="0"/>
        <w:autoSpaceDN w:val="0"/>
        <w:rPr>
          <w:sz w:val="22"/>
          <w:szCs w:val="22"/>
          <w:lang w:bidi="ru-RU"/>
        </w:rPr>
      </w:pPr>
    </w:p>
    <w:p w:rsidR="003256EB" w:rsidRPr="007B4B0B" w:rsidRDefault="003256EB" w:rsidP="003256EB">
      <w:pPr>
        <w:shd w:val="clear" w:color="auto" w:fill="FFFFFF"/>
        <w:spacing w:before="60" w:after="60"/>
        <w:ind w:right="20"/>
        <w:jc w:val="center"/>
        <w:outlineLvl w:val="0"/>
        <w:rPr>
          <w:b/>
          <w:color w:val="000000"/>
        </w:rPr>
      </w:pPr>
      <w:r w:rsidRPr="007B4B0B">
        <w:rPr>
          <w:b/>
          <w:color w:val="000000"/>
          <w:szCs w:val="22"/>
        </w:rPr>
        <w:t xml:space="preserve">Типовое приложение № </w:t>
      </w:r>
      <w:r w:rsidR="001B2474" w:rsidRPr="007B4B0B">
        <w:rPr>
          <w:b/>
          <w:color w:val="000000"/>
          <w:szCs w:val="22"/>
        </w:rPr>
        <w:t>124</w:t>
      </w:r>
      <w:r w:rsidRPr="007B4B0B">
        <w:rPr>
          <w:b/>
          <w:color w:val="000000"/>
          <w:szCs w:val="22"/>
        </w:rPr>
        <w:t xml:space="preserve">. </w:t>
      </w:r>
      <w:r w:rsidRPr="007B4B0B">
        <w:rPr>
          <w:b/>
          <w:color w:val="000000"/>
        </w:rPr>
        <w:t>Формы промежуточной ведомости</w:t>
      </w:r>
      <w:r w:rsidR="00873931">
        <w:rPr>
          <w:b/>
          <w:color w:val="000000"/>
        </w:rPr>
        <w:t xml:space="preserve"> оценки уровня содержания объекта</w:t>
      </w:r>
      <w:r w:rsidR="00C7019D" w:rsidRPr="005E7F0D">
        <w:rPr>
          <w:b/>
          <w:color w:val="000000"/>
          <w:szCs w:val="22"/>
        </w:rPr>
        <w:t xml:space="preserve"> </w:t>
      </w:r>
      <w:r w:rsidR="00C7019D" w:rsidRPr="005E7F0D">
        <w:rPr>
          <w:b/>
        </w:rPr>
        <w:t>(для договоров на содержание)</w:t>
      </w:r>
    </w:p>
    <w:p w:rsidR="003256EB" w:rsidRPr="007B4B0B" w:rsidRDefault="003256EB" w:rsidP="003256EB">
      <w:pPr>
        <w:widowControl w:val="0"/>
        <w:autoSpaceDE w:val="0"/>
        <w:autoSpaceDN w:val="0"/>
        <w:rPr>
          <w:sz w:val="22"/>
          <w:szCs w:val="22"/>
        </w:rPr>
      </w:pPr>
    </w:p>
    <w:p w:rsidR="003256EB" w:rsidRPr="007B4B0B" w:rsidRDefault="003256EB" w:rsidP="003256EB">
      <w:pPr>
        <w:widowControl w:val="0"/>
        <w:autoSpaceDE w:val="0"/>
        <w:autoSpaceDN w:val="0"/>
        <w:ind w:firstLine="426"/>
        <w:jc w:val="right"/>
        <w:rPr>
          <w:rFonts w:eastAsia="MS Mincho"/>
          <w:b/>
          <w:i/>
          <w:lang w:bidi="ru-RU"/>
        </w:rPr>
      </w:pPr>
      <w:r w:rsidRPr="007B4B0B">
        <w:rPr>
          <w:rFonts w:eastAsia="MS Mincho"/>
          <w:b/>
          <w:i/>
          <w:lang w:bidi="ru-RU"/>
        </w:rPr>
        <w:t>Ф.1</w:t>
      </w:r>
    </w:p>
    <w:p w:rsidR="003256EB" w:rsidRPr="007B4B0B" w:rsidRDefault="003256EB" w:rsidP="003256EB">
      <w:pPr>
        <w:widowControl w:val="0"/>
        <w:autoSpaceDE w:val="0"/>
        <w:autoSpaceDN w:val="0"/>
        <w:jc w:val="center"/>
        <w:rPr>
          <w:b/>
          <w:sz w:val="22"/>
          <w:szCs w:val="20"/>
          <w:lang w:bidi="ru-RU"/>
        </w:rPr>
      </w:pPr>
      <w:r w:rsidRPr="007B4B0B">
        <w:rPr>
          <w:rFonts w:eastAsia="MS Mincho"/>
          <w:b/>
          <w:i/>
          <w:lang w:bidi="ru-RU"/>
        </w:rPr>
        <w:t xml:space="preserve">Промежуточная Ведомость </w:t>
      </w:r>
      <w:r w:rsidRPr="007B4B0B">
        <w:rPr>
          <w:b/>
          <w:szCs w:val="28"/>
          <w:lang w:bidi="ru-RU"/>
        </w:rPr>
        <w:t>№</w:t>
      </w:r>
      <w:r w:rsidRPr="007B4B0B">
        <w:rPr>
          <w:b/>
          <w:szCs w:val="28"/>
          <w:vertAlign w:val="superscript"/>
          <w:lang w:bidi="ru-RU"/>
        </w:rPr>
        <w:footnoteReference w:id="1"/>
      </w:r>
      <w:r w:rsidRPr="007B4B0B">
        <w:rPr>
          <w:b/>
          <w:szCs w:val="28"/>
          <w:lang w:bidi="ru-RU"/>
        </w:rPr>
        <w:t xml:space="preserve"> ___/___/___/___</w:t>
      </w:r>
    </w:p>
    <w:p w:rsidR="003256EB" w:rsidRPr="007B4B0B" w:rsidRDefault="003256EB" w:rsidP="003256EB">
      <w:pPr>
        <w:widowControl w:val="0"/>
        <w:autoSpaceDE w:val="0"/>
        <w:autoSpaceDN w:val="0"/>
        <w:ind w:firstLine="426"/>
        <w:jc w:val="center"/>
        <w:rPr>
          <w:rFonts w:eastAsia="MS Mincho"/>
          <w:b/>
          <w:i/>
          <w:lang w:bidi="ru-RU"/>
        </w:rPr>
      </w:pPr>
      <w:r w:rsidRPr="007B4B0B">
        <w:rPr>
          <w:rFonts w:eastAsia="MS Mincho"/>
          <w:b/>
          <w:i/>
          <w:lang w:bidi="ru-RU"/>
        </w:rPr>
        <w:t xml:space="preserve"> (весенне-летне-осенний период)</w:t>
      </w:r>
    </w:p>
    <w:p w:rsidR="003256EB" w:rsidRPr="007B4B0B" w:rsidRDefault="003256EB" w:rsidP="003256EB">
      <w:pPr>
        <w:widowControl w:val="0"/>
        <w:autoSpaceDE w:val="0"/>
        <w:autoSpaceDN w:val="0"/>
        <w:ind w:firstLine="426"/>
        <w:jc w:val="center"/>
        <w:rPr>
          <w:rFonts w:eastAsia="MS Mincho"/>
          <w:b/>
          <w:i/>
          <w:lang w:bidi="ru-RU"/>
        </w:rPr>
      </w:pPr>
    </w:p>
    <w:p w:rsidR="003256EB" w:rsidRPr="007B4B0B" w:rsidRDefault="003256EB" w:rsidP="003256EB">
      <w:pPr>
        <w:widowControl w:val="0"/>
        <w:autoSpaceDE w:val="0"/>
        <w:autoSpaceDN w:val="0"/>
        <w:adjustRightInd w:val="0"/>
        <w:rPr>
          <w:szCs w:val="20"/>
          <w:lang w:bidi="ru-RU"/>
        </w:rPr>
      </w:pPr>
      <w:r w:rsidRPr="007B4B0B">
        <w:rPr>
          <w:szCs w:val="20"/>
          <w:lang w:bidi="ru-RU"/>
        </w:rPr>
        <w:t>Название Объекта: ___________________________________________________</w:t>
      </w:r>
    </w:p>
    <w:p w:rsidR="003256EB" w:rsidRPr="007B4B0B" w:rsidRDefault="003256EB" w:rsidP="003256EB">
      <w:pPr>
        <w:widowControl w:val="0"/>
        <w:autoSpaceDE w:val="0"/>
        <w:autoSpaceDN w:val="0"/>
        <w:adjustRightInd w:val="0"/>
        <w:rPr>
          <w:szCs w:val="20"/>
          <w:lang w:bidi="ru-RU"/>
        </w:rPr>
      </w:pPr>
      <w:r w:rsidRPr="007B4B0B">
        <w:rPr>
          <w:szCs w:val="20"/>
          <w:lang w:bidi="ru-RU"/>
        </w:rPr>
        <w:t>Категория Объекта: ___________________________________________________</w:t>
      </w:r>
    </w:p>
    <w:p w:rsidR="003256EB" w:rsidRPr="007B4B0B" w:rsidRDefault="003256EB" w:rsidP="003256EB">
      <w:pPr>
        <w:widowControl w:val="0"/>
        <w:autoSpaceDE w:val="0"/>
        <w:autoSpaceDN w:val="0"/>
        <w:adjustRightInd w:val="0"/>
        <w:rPr>
          <w:szCs w:val="20"/>
          <w:lang w:bidi="ru-RU"/>
        </w:rPr>
      </w:pPr>
      <w:r w:rsidRPr="007B4B0B">
        <w:rPr>
          <w:szCs w:val="20"/>
          <w:lang w:bidi="ru-RU"/>
        </w:rPr>
        <w:t>Адрес Объекта: км__+__ - км__+__</w:t>
      </w:r>
    </w:p>
    <w:p w:rsidR="003256EB" w:rsidRPr="007B4B0B" w:rsidRDefault="003256EB" w:rsidP="003256EB">
      <w:pPr>
        <w:widowControl w:val="0"/>
        <w:autoSpaceDE w:val="0"/>
        <w:autoSpaceDN w:val="0"/>
        <w:adjustRightInd w:val="0"/>
        <w:rPr>
          <w:szCs w:val="20"/>
          <w:lang w:bidi="ru-RU"/>
        </w:rPr>
      </w:pPr>
      <w:r w:rsidRPr="007B4B0B">
        <w:rPr>
          <w:szCs w:val="20"/>
          <w:lang w:bidi="ru-RU"/>
        </w:rPr>
        <w:t>Характерный период: весенне-летне-осенний период;      Год 20___ Месяц</w:t>
      </w:r>
    </w:p>
    <w:p w:rsidR="003256EB" w:rsidRPr="007B4B0B" w:rsidRDefault="003256EB" w:rsidP="003256EB">
      <w:pPr>
        <w:widowControl w:val="0"/>
        <w:autoSpaceDE w:val="0"/>
        <w:autoSpaceDN w:val="0"/>
        <w:adjustRightInd w:val="0"/>
        <w:rPr>
          <w:szCs w:val="20"/>
          <w:lang w:bidi="ru-RU"/>
        </w:rPr>
      </w:pPr>
      <w:r w:rsidRPr="007B4B0B">
        <w:rPr>
          <w:szCs w:val="20"/>
          <w:lang w:bidi="ru-RU"/>
        </w:rPr>
        <w:t>Требуемый Уровень Содержания Объекта  _______________________________</w:t>
      </w:r>
    </w:p>
    <w:p w:rsidR="003256EB" w:rsidRPr="007B4B0B" w:rsidRDefault="003256EB" w:rsidP="003256EB">
      <w:pPr>
        <w:widowControl w:val="0"/>
        <w:autoSpaceDE w:val="0"/>
        <w:autoSpaceDN w:val="0"/>
        <w:adjustRightInd w:val="0"/>
        <w:rPr>
          <w:szCs w:val="20"/>
          <w:lang w:bidi="ru-RU"/>
        </w:rPr>
      </w:pPr>
    </w:p>
    <w:tbl>
      <w:tblPr>
        <w:tblW w:w="981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20" w:firstRow="1" w:lastRow="0" w:firstColumn="0" w:lastColumn="0" w:noHBand="0" w:noVBand="0"/>
      </w:tblPr>
      <w:tblGrid>
        <w:gridCol w:w="1588"/>
        <w:gridCol w:w="2694"/>
        <w:gridCol w:w="850"/>
        <w:gridCol w:w="567"/>
        <w:gridCol w:w="709"/>
        <w:gridCol w:w="3402"/>
      </w:tblGrid>
      <w:tr w:rsidR="003256EB" w:rsidRPr="007B4B0B" w:rsidTr="003256EB">
        <w:trPr>
          <w:cantSplit/>
          <w:trHeight w:val="914"/>
          <w:tblHeader/>
        </w:trPr>
        <w:tc>
          <w:tcPr>
            <w:tcW w:w="1588" w:type="dxa"/>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44" w:right="-108"/>
              <w:jc w:val="center"/>
              <w:rPr>
                <w:rFonts w:eastAsia="Calibri"/>
                <w:b/>
                <w:sz w:val="20"/>
                <w:szCs w:val="20"/>
                <w:lang w:bidi="ru-RU"/>
              </w:rPr>
            </w:pPr>
            <w:r w:rsidRPr="007B4B0B">
              <w:rPr>
                <w:rFonts w:eastAsia="Calibri"/>
                <w:b/>
                <w:sz w:val="20"/>
                <w:szCs w:val="20"/>
                <w:lang w:bidi="ru-RU"/>
              </w:rPr>
              <w:t>№ п/п</w:t>
            </w:r>
          </w:p>
          <w:p w:rsidR="003256EB" w:rsidRPr="007B4B0B" w:rsidRDefault="003256EB" w:rsidP="003256EB">
            <w:pPr>
              <w:widowControl w:val="0"/>
              <w:autoSpaceDE w:val="0"/>
              <w:autoSpaceDN w:val="0"/>
              <w:ind w:left="18" w:right="15"/>
              <w:jc w:val="center"/>
              <w:rPr>
                <w:rFonts w:eastAsia="Calibri"/>
                <w:b/>
                <w:sz w:val="20"/>
                <w:szCs w:val="20"/>
                <w:lang w:bidi="ru-RU"/>
              </w:rPr>
            </w:pPr>
          </w:p>
        </w:tc>
        <w:tc>
          <w:tcPr>
            <w:tcW w:w="2694" w:type="dxa"/>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ind w:left="21"/>
              <w:jc w:val="center"/>
              <w:rPr>
                <w:rFonts w:eastAsia="Calibri"/>
                <w:b/>
                <w:sz w:val="20"/>
                <w:szCs w:val="20"/>
                <w:lang w:bidi="ru-RU"/>
              </w:rPr>
            </w:pPr>
            <w:r w:rsidRPr="007B4B0B">
              <w:rPr>
                <w:rFonts w:eastAsia="Calibri"/>
                <w:b/>
                <w:sz w:val="20"/>
                <w:szCs w:val="20"/>
                <w:lang w:bidi="ru-RU"/>
              </w:rPr>
              <w:t>Наименование Показателя, Дефекта Содержания Объекта</w:t>
            </w:r>
            <w:r w:rsidRPr="007B4B0B">
              <w:rPr>
                <w:rFonts w:eastAsia="Calibri"/>
                <w:b/>
                <w:sz w:val="20"/>
                <w:szCs w:val="20"/>
                <w:vertAlign w:val="superscript"/>
                <w:lang w:bidi="ru-RU"/>
              </w:rPr>
              <w:footnoteReference w:id="2"/>
            </w:r>
          </w:p>
        </w:tc>
        <w:tc>
          <w:tcPr>
            <w:tcW w:w="850" w:type="dxa"/>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
                <w:sz w:val="20"/>
                <w:szCs w:val="20"/>
                <w:lang w:bidi="ru-RU"/>
              </w:rPr>
            </w:pPr>
            <w:r w:rsidRPr="007B4B0B">
              <w:rPr>
                <w:rFonts w:eastAsia="Calibri"/>
                <w:b/>
                <w:sz w:val="20"/>
                <w:szCs w:val="20"/>
                <w:lang w:bidi="ru-RU"/>
              </w:rPr>
              <w:t>Категория</w:t>
            </w:r>
          </w:p>
        </w:tc>
        <w:tc>
          <w:tcPr>
            <w:tcW w:w="567" w:type="dxa"/>
            <w:tcBorders>
              <w:top w:val="single" w:sz="8" w:space="0" w:color="auto"/>
              <w:left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
                <w:sz w:val="20"/>
                <w:szCs w:val="20"/>
                <w:vertAlign w:val="superscript"/>
                <w:lang w:bidi="ru-RU"/>
              </w:rPr>
            </w:pPr>
            <w:r w:rsidRPr="007B4B0B">
              <w:rPr>
                <w:rFonts w:eastAsia="Calibri"/>
                <w:b/>
                <w:i/>
                <w:sz w:val="20"/>
                <w:szCs w:val="20"/>
                <w:lang w:bidi="ru-RU"/>
              </w:rPr>
              <w:t>КС</w:t>
            </w:r>
            <w:r w:rsidRPr="007B4B0B">
              <w:rPr>
                <w:rFonts w:eastAsia="Calibri"/>
                <w:b/>
                <w:i/>
                <w:sz w:val="20"/>
                <w:szCs w:val="20"/>
                <w:vertAlign w:val="subscript"/>
                <w:lang w:val="en-US" w:bidi="ru-RU"/>
              </w:rPr>
              <w:t>i</w:t>
            </w:r>
          </w:p>
        </w:tc>
        <w:tc>
          <w:tcPr>
            <w:tcW w:w="709" w:type="dxa"/>
            <w:tcBorders>
              <w:top w:val="single" w:sz="8" w:space="0" w:color="auto"/>
              <w:left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
                <w:sz w:val="20"/>
                <w:szCs w:val="20"/>
                <w:lang w:bidi="ru-RU"/>
              </w:rPr>
            </w:pPr>
            <w:r w:rsidRPr="007B4B0B">
              <w:rPr>
                <w:rFonts w:eastAsia="Calibri"/>
                <w:b/>
                <w:sz w:val="20"/>
                <w:szCs w:val="20"/>
                <w:lang w:bidi="ru-RU"/>
              </w:rPr>
              <w:t>КСД</w:t>
            </w:r>
            <w:r w:rsidRPr="007B4B0B">
              <w:rPr>
                <w:rFonts w:eastAsia="Calibri"/>
                <w:b/>
                <w:i/>
                <w:sz w:val="20"/>
                <w:szCs w:val="20"/>
                <w:vertAlign w:val="subscript"/>
                <w:lang w:val="en-US" w:bidi="ru-RU"/>
              </w:rPr>
              <w:t>i</w:t>
            </w:r>
          </w:p>
        </w:tc>
        <w:tc>
          <w:tcPr>
            <w:tcW w:w="3402" w:type="dxa"/>
            <w:tcBorders>
              <w:top w:val="single" w:sz="8" w:space="0" w:color="auto"/>
              <w:left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
                <w:sz w:val="20"/>
                <w:szCs w:val="20"/>
                <w:lang w:bidi="ru-RU"/>
              </w:rPr>
            </w:pPr>
            <w:r w:rsidRPr="007B4B0B">
              <w:rPr>
                <w:rFonts w:eastAsia="Calibri"/>
                <w:b/>
                <w:sz w:val="20"/>
                <w:szCs w:val="20"/>
                <w:lang w:bidi="ru-RU"/>
              </w:rPr>
              <w:t>Километры</w:t>
            </w:r>
            <w:r w:rsidRPr="007B4B0B">
              <w:rPr>
                <w:rFonts w:eastAsia="Calibri"/>
                <w:b/>
                <w:sz w:val="20"/>
                <w:szCs w:val="20"/>
                <w:vertAlign w:val="superscript"/>
                <w:lang w:bidi="ru-RU"/>
              </w:rPr>
              <w:footnoteReference w:id="3"/>
            </w:r>
            <w:r w:rsidRPr="007B4B0B">
              <w:rPr>
                <w:rFonts w:eastAsia="Calibri"/>
                <w:b/>
                <w:sz w:val="20"/>
                <w:szCs w:val="20"/>
                <w:lang w:bidi="ru-RU"/>
              </w:rPr>
              <w:t xml:space="preserve"> с выявленными несоответствиями Показателей Содержания и/или наличием Дефектов Содержания</w:t>
            </w:r>
          </w:p>
        </w:tc>
      </w:tr>
      <w:tr w:rsidR="003256EB" w:rsidRPr="007B4B0B" w:rsidTr="003256EB">
        <w:trPr>
          <w:cantSplit/>
          <w:trHeight w:val="20"/>
          <w:tblHeader/>
        </w:trPr>
        <w:tc>
          <w:tcPr>
            <w:tcW w:w="158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18" w:right="15"/>
              <w:jc w:val="center"/>
              <w:rPr>
                <w:rFonts w:eastAsia="Calibri"/>
                <w:bCs/>
                <w:sz w:val="16"/>
                <w:szCs w:val="20"/>
                <w:lang w:bidi="ru-RU"/>
              </w:rPr>
            </w:pPr>
            <w:r w:rsidRPr="007B4B0B">
              <w:rPr>
                <w:rFonts w:eastAsia="Calibri"/>
                <w:bCs/>
                <w:sz w:val="16"/>
                <w:szCs w:val="20"/>
                <w:lang w:bidi="ru-RU"/>
              </w:rPr>
              <w:t>1</w:t>
            </w:r>
          </w:p>
        </w:tc>
        <w:tc>
          <w:tcPr>
            <w:tcW w:w="2694"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21"/>
              <w:jc w:val="center"/>
              <w:rPr>
                <w:rFonts w:eastAsia="Calibri"/>
                <w:bCs/>
                <w:sz w:val="16"/>
                <w:szCs w:val="20"/>
                <w:lang w:bidi="ru-RU"/>
              </w:rPr>
            </w:pPr>
            <w:r w:rsidRPr="007B4B0B">
              <w:rPr>
                <w:rFonts w:eastAsia="Calibri"/>
                <w:bCs/>
                <w:sz w:val="16"/>
                <w:szCs w:val="20"/>
                <w:lang w:bidi="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20"/>
                <w:lang w:bidi="ru-RU"/>
              </w:rPr>
            </w:pPr>
            <w:r w:rsidRPr="007B4B0B">
              <w:rPr>
                <w:rFonts w:eastAsia="Calibri"/>
                <w:bCs/>
                <w:sz w:val="16"/>
                <w:szCs w:val="20"/>
                <w:lang w:bidi="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Cs/>
                <w:sz w:val="16"/>
                <w:szCs w:val="20"/>
                <w:lang w:bidi="ru-RU"/>
              </w:rPr>
            </w:pPr>
            <w:r w:rsidRPr="007B4B0B">
              <w:rPr>
                <w:rFonts w:eastAsia="Calibri"/>
                <w:bCs/>
                <w:sz w:val="16"/>
                <w:szCs w:val="20"/>
                <w:lang w:bidi="ru-RU"/>
              </w:rPr>
              <w:t>4</w:t>
            </w:r>
          </w:p>
        </w:tc>
        <w:tc>
          <w:tcPr>
            <w:tcW w:w="709" w:type="dxa"/>
            <w:tcBorders>
              <w:top w:val="single" w:sz="4" w:space="0" w:color="auto"/>
              <w:left w:val="single" w:sz="4" w:space="0" w:color="auto"/>
              <w:bottom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Cs/>
                <w:sz w:val="16"/>
                <w:szCs w:val="20"/>
                <w:lang w:bidi="ru-RU"/>
              </w:rPr>
            </w:pPr>
            <w:r w:rsidRPr="007B4B0B">
              <w:rPr>
                <w:rFonts w:eastAsia="Calibri"/>
                <w:bCs/>
                <w:sz w:val="16"/>
                <w:szCs w:val="20"/>
                <w:lang w:bidi="ru-RU"/>
              </w:rPr>
              <w:t>5</w:t>
            </w:r>
          </w:p>
        </w:tc>
        <w:tc>
          <w:tcPr>
            <w:tcW w:w="3402" w:type="dxa"/>
            <w:tcBorders>
              <w:top w:val="single" w:sz="4" w:space="0" w:color="auto"/>
              <w:left w:val="single" w:sz="4" w:space="0" w:color="auto"/>
              <w:bottom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Cs/>
                <w:sz w:val="16"/>
                <w:szCs w:val="20"/>
                <w:lang w:bidi="ru-RU"/>
              </w:rPr>
            </w:pPr>
            <w:r w:rsidRPr="007B4B0B">
              <w:rPr>
                <w:rFonts w:eastAsia="Calibri"/>
                <w:bCs/>
                <w:sz w:val="16"/>
                <w:szCs w:val="20"/>
                <w:lang w:bidi="ru-RU"/>
              </w:rPr>
              <w:t>6</w:t>
            </w:r>
          </w:p>
        </w:tc>
      </w:tr>
      <w:tr w:rsidR="003256EB" w:rsidRPr="007B4B0B" w:rsidTr="003256EB">
        <w:trPr>
          <w:cantSplit/>
          <w:trHeight w:val="20"/>
          <w:tblHeader/>
        </w:trPr>
        <w:tc>
          <w:tcPr>
            <w:tcW w:w="158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18" w:right="15"/>
              <w:jc w:val="center"/>
              <w:rPr>
                <w:rFonts w:eastAsia="Calibri"/>
                <w:bCs/>
                <w:sz w:val="16"/>
                <w:szCs w:val="20"/>
                <w:lang w:bidi="ru-RU"/>
              </w:rPr>
            </w:pPr>
          </w:p>
        </w:tc>
        <w:tc>
          <w:tcPr>
            <w:tcW w:w="2694"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21"/>
              <w:jc w:val="center"/>
              <w:rPr>
                <w:rFonts w:eastAsia="Calibri"/>
                <w:bCs/>
                <w:sz w:val="16"/>
                <w:szCs w:val="20"/>
                <w:lang w:bidi="ru-RU"/>
              </w:rPr>
            </w:pPr>
          </w:p>
        </w:tc>
        <w:tc>
          <w:tcPr>
            <w:tcW w:w="85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20"/>
                <w:lang w:bidi="ru-RU"/>
              </w:rPr>
            </w:pPr>
          </w:p>
        </w:tc>
        <w:tc>
          <w:tcPr>
            <w:tcW w:w="56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Cs/>
                <w:sz w:val="16"/>
                <w:szCs w:val="20"/>
                <w:lang w:bidi="ru-RU"/>
              </w:rPr>
            </w:pPr>
          </w:p>
        </w:tc>
        <w:tc>
          <w:tcPr>
            <w:tcW w:w="709" w:type="dxa"/>
            <w:tcBorders>
              <w:top w:val="single" w:sz="4" w:space="0" w:color="auto"/>
              <w:left w:val="single" w:sz="4" w:space="0" w:color="auto"/>
              <w:bottom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Cs/>
                <w:sz w:val="16"/>
                <w:szCs w:val="20"/>
                <w:lang w:bidi="ru-RU"/>
              </w:rPr>
            </w:pPr>
          </w:p>
        </w:tc>
        <w:tc>
          <w:tcPr>
            <w:tcW w:w="3402" w:type="dxa"/>
            <w:tcBorders>
              <w:top w:val="single" w:sz="4" w:space="0" w:color="auto"/>
              <w:left w:val="single" w:sz="4" w:space="0" w:color="auto"/>
              <w:bottom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Cs/>
                <w:sz w:val="16"/>
                <w:szCs w:val="20"/>
                <w:lang w:bidi="ru-RU"/>
              </w:rPr>
            </w:pPr>
          </w:p>
        </w:tc>
      </w:tr>
      <w:tr w:rsidR="003256EB" w:rsidRPr="007B4B0B" w:rsidTr="003256EB">
        <w:trPr>
          <w:cantSplit/>
          <w:trHeight w:val="20"/>
          <w:tblHeader/>
        </w:trPr>
        <w:tc>
          <w:tcPr>
            <w:tcW w:w="158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18" w:right="15"/>
              <w:jc w:val="center"/>
              <w:rPr>
                <w:rFonts w:eastAsia="Calibri"/>
                <w:bCs/>
                <w:sz w:val="16"/>
                <w:szCs w:val="20"/>
                <w:lang w:bidi="ru-RU"/>
              </w:rPr>
            </w:pPr>
          </w:p>
        </w:tc>
        <w:tc>
          <w:tcPr>
            <w:tcW w:w="2694"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21"/>
              <w:jc w:val="center"/>
              <w:rPr>
                <w:rFonts w:eastAsia="Calibri"/>
                <w:bCs/>
                <w:sz w:val="16"/>
                <w:szCs w:val="20"/>
                <w:lang w:bidi="ru-RU"/>
              </w:rPr>
            </w:pPr>
          </w:p>
        </w:tc>
        <w:tc>
          <w:tcPr>
            <w:tcW w:w="85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20"/>
                <w:lang w:bidi="ru-RU"/>
              </w:rPr>
            </w:pPr>
          </w:p>
        </w:tc>
        <w:tc>
          <w:tcPr>
            <w:tcW w:w="56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Cs/>
                <w:sz w:val="16"/>
                <w:szCs w:val="20"/>
                <w:lang w:bidi="ru-RU"/>
              </w:rPr>
            </w:pPr>
          </w:p>
        </w:tc>
        <w:tc>
          <w:tcPr>
            <w:tcW w:w="709" w:type="dxa"/>
            <w:tcBorders>
              <w:top w:val="single" w:sz="4" w:space="0" w:color="auto"/>
              <w:left w:val="single" w:sz="4" w:space="0" w:color="auto"/>
              <w:bottom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Cs/>
                <w:sz w:val="16"/>
                <w:szCs w:val="20"/>
                <w:lang w:bidi="ru-RU"/>
              </w:rPr>
            </w:pPr>
          </w:p>
        </w:tc>
        <w:tc>
          <w:tcPr>
            <w:tcW w:w="3402" w:type="dxa"/>
            <w:tcBorders>
              <w:top w:val="single" w:sz="4" w:space="0" w:color="auto"/>
              <w:left w:val="single" w:sz="4" w:space="0" w:color="auto"/>
              <w:bottom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Cs/>
                <w:sz w:val="16"/>
                <w:szCs w:val="20"/>
                <w:lang w:bidi="ru-RU"/>
              </w:rPr>
            </w:pPr>
          </w:p>
        </w:tc>
      </w:tr>
      <w:tr w:rsidR="003256EB" w:rsidRPr="007B4B0B" w:rsidTr="003256EB">
        <w:trPr>
          <w:cantSplit/>
          <w:trHeight w:val="20"/>
          <w:tblHeader/>
        </w:trPr>
        <w:tc>
          <w:tcPr>
            <w:tcW w:w="158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18" w:right="15"/>
              <w:jc w:val="center"/>
              <w:rPr>
                <w:rFonts w:eastAsia="Calibri"/>
                <w:bCs/>
                <w:sz w:val="16"/>
                <w:szCs w:val="20"/>
                <w:lang w:bidi="ru-RU"/>
              </w:rPr>
            </w:pPr>
          </w:p>
        </w:tc>
        <w:tc>
          <w:tcPr>
            <w:tcW w:w="2694"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21"/>
              <w:jc w:val="center"/>
              <w:rPr>
                <w:rFonts w:eastAsia="Calibri"/>
                <w:bCs/>
                <w:sz w:val="16"/>
                <w:szCs w:val="20"/>
                <w:lang w:bidi="ru-RU"/>
              </w:rPr>
            </w:pPr>
          </w:p>
        </w:tc>
        <w:tc>
          <w:tcPr>
            <w:tcW w:w="85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20"/>
                <w:lang w:bidi="ru-RU"/>
              </w:rPr>
            </w:pPr>
          </w:p>
        </w:tc>
        <w:tc>
          <w:tcPr>
            <w:tcW w:w="56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Cs/>
                <w:sz w:val="16"/>
                <w:szCs w:val="20"/>
                <w:lang w:bidi="ru-RU"/>
              </w:rPr>
            </w:pPr>
          </w:p>
        </w:tc>
        <w:tc>
          <w:tcPr>
            <w:tcW w:w="709" w:type="dxa"/>
            <w:tcBorders>
              <w:top w:val="single" w:sz="4" w:space="0" w:color="auto"/>
              <w:left w:val="single" w:sz="4" w:space="0" w:color="auto"/>
              <w:bottom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Cs/>
                <w:sz w:val="16"/>
                <w:szCs w:val="20"/>
                <w:lang w:bidi="ru-RU"/>
              </w:rPr>
            </w:pPr>
          </w:p>
        </w:tc>
        <w:tc>
          <w:tcPr>
            <w:tcW w:w="3402" w:type="dxa"/>
            <w:tcBorders>
              <w:top w:val="single" w:sz="4" w:space="0" w:color="auto"/>
              <w:left w:val="single" w:sz="4" w:space="0" w:color="auto"/>
              <w:bottom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Cs/>
                <w:sz w:val="16"/>
                <w:szCs w:val="20"/>
                <w:lang w:bidi="ru-RU"/>
              </w:rPr>
            </w:pPr>
          </w:p>
        </w:tc>
      </w:tr>
    </w:tbl>
    <w:p w:rsidR="003256EB" w:rsidRPr="007B4B0B" w:rsidRDefault="003256EB" w:rsidP="003256EB">
      <w:pPr>
        <w:widowControl w:val="0"/>
        <w:autoSpaceDE w:val="0"/>
        <w:autoSpaceDN w:val="0"/>
        <w:ind w:firstLine="426"/>
        <w:rPr>
          <w:rFonts w:eastAsia="MS Mincho"/>
          <w:bCs/>
          <w:sz w:val="20"/>
          <w:lang w:bidi="ru-RU"/>
        </w:rPr>
      </w:pPr>
      <w:r w:rsidRPr="007B4B0B">
        <w:rPr>
          <w:rFonts w:eastAsia="MS Mincho"/>
          <w:bCs/>
          <w:sz w:val="20"/>
          <w:lang w:bidi="ru-RU"/>
        </w:rPr>
        <w:t>Представитель Заказчика</w:t>
      </w:r>
    </w:p>
    <w:p w:rsidR="003256EB" w:rsidRPr="007B4B0B" w:rsidRDefault="003256EB" w:rsidP="003256EB">
      <w:pPr>
        <w:widowControl w:val="0"/>
        <w:autoSpaceDE w:val="0"/>
        <w:autoSpaceDN w:val="0"/>
        <w:ind w:firstLine="426"/>
        <w:rPr>
          <w:rFonts w:eastAsia="MS Mincho"/>
          <w:bCs/>
          <w:sz w:val="20"/>
          <w:lang w:bidi="ru-RU"/>
        </w:rPr>
      </w:pPr>
      <w:r w:rsidRPr="007B4B0B">
        <w:rPr>
          <w:rFonts w:eastAsia="MS Mincho"/>
          <w:bCs/>
          <w:sz w:val="20"/>
          <w:lang w:bidi="ru-RU"/>
        </w:rPr>
        <w:t xml:space="preserve">Представитель Подрядчика </w:t>
      </w:r>
    </w:p>
    <w:p w:rsidR="003256EB" w:rsidRPr="007B4B0B" w:rsidRDefault="003256EB" w:rsidP="003256EB">
      <w:pPr>
        <w:widowControl w:val="0"/>
        <w:autoSpaceDE w:val="0"/>
        <w:autoSpaceDN w:val="0"/>
        <w:ind w:firstLine="426"/>
        <w:jc w:val="right"/>
        <w:rPr>
          <w:rFonts w:eastAsia="MS Mincho"/>
          <w:b/>
          <w:i/>
          <w:lang w:bidi="ru-RU"/>
        </w:rPr>
      </w:pPr>
      <w:r w:rsidRPr="007B4B0B">
        <w:rPr>
          <w:rFonts w:eastAsia="MS Mincho"/>
          <w:b/>
          <w:i/>
          <w:lang w:bidi="ru-RU"/>
        </w:rPr>
        <w:t>Ф.2</w:t>
      </w:r>
    </w:p>
    <w:p w:rsidR="003256EB" w:rsidRPr="007B4B0B" w:rsidRDefault="003256EB" w:rsidP="003256EB">
      <w:pPr>
        <w:widowControl w:val="0"/>
        <w:autoSpaceDE w:val="0"/>
        <w:autoSpaceDN w:val="0"/>
        <w:ind w:firstLine="426"/>
        <w:jc w:val="center"/>
        <w:rPr>
          <w:rFonts w:eastAsia="MS Mincho"/>
          <w:b/>
          <w:i/>
          <w:lang w:bidi="ru-RU"/>
        </w:rPr>
      </w:pPr>
      <w:r w:rsidRPr="007B4B0B">
        <w:rPr>
          <w:rFonts w:eastAsia="MS Mincho"/>
          <w:b/>
          <w:i/>
          <w:lang w:bidi="ru-RU"/>
        </w:rPr>
        <w:t xml:space="preserve">Промежуточная Ведомость </w:t>
      </w:r>
      <w:r w:rsidRPr="007B4B0B">
        <w:rPr>
          <w:b/>
          <w:szCs w:val="28"/>
          <w:lang w:bidi="ru-RU"/>
        </w:rPr>
        <w:t>№</w:t>
      </w:r>
      <w:r w:rsidRPr="007B4B0B">
        <w:rPr>
          <w:b/>
          <w:szCs w:val="28"/>
          <w:vertAlign w:val="superscript"/>
          <w:lang w:bidi="ru-RU"/>
        </w:rPr>
        <w:footnoteReference w:id="4"/>
      </w:r>
      <w:r w:rsidRPr="007B4B0B">
        <w:rPr>
          <w:b/>
          <w:szCs w:val="28"/>
          <w:lang w:bidi="ru-RU"/>
        </w:rPr>
        <w:t xml:space="preserve"> ___/___/___/___</w:t>
      </w:r>
    </w:p>
    <w:p w:rsidR="003256EB" w:rsidRPr="007B4B0B" w:rsidRDefault="003256EB" w:rsidP="003256EB">
      <w:pPr>
        <w:widowControl w:val="0"/>
        <w:autoSpaceDE w:val="0"/>
        <w:autoSpaceDN w:val="0"/>
        <w:ind w:firstLine="426"/>
        <w:jc w:val="center"/>
        <w:rPr>
          <w:rFonts w:eastAsia="MS Mincho"/>
          <w:b/>
          <w:i/>
          <w:lang w:bidi="ru-RU"/>
        </w:rPr>
      </w:pPr>
      <w:r w:rsidRPr="007B4B0B">
        <w:rPr>
          <w:rFonts w:eastAsia="MS Mincho"/>
          <w:b/>
          <w:i/>
          <w:lang w:bidi="ru-RU"/>
        </w:rPr>
        <w:t>(зимний период)</w:t>
      </w:r>
    </w:p>
    <w:p w:rsidR="003256EB" w:rsidRPr="007B4B0B" w:rsidRDefault="003256EB" w:rsidP="003256EB">
      <w:pPr>
        <w:widowControl w:val="0"/>
        <w:autoSpaceDE w:val="0"/>
        <w:autoSpaceDN w:val="0"/>
        <w:ind w:firstLine="426"/>
        <w:jc w:val="center"/>
        <w:rPr>
          <w:rFonts w:eastAsia="MS Mincho"/>
          <w:b/>
          <w:i/>
          <w:lang w:bidi="ru-RU"/>
        </w:rPr>
      </w:pPr>
    </w:p>
    <w:p w:rsidR="003256EB" w:rsidRPr="007B4B0B" w:rsidRDefault="003256EB" w:rsidP="003256EB">
      <w:pPr>
        <w:widowControl w:val="0"/>
        <w:autoSpaceDE w:val="0"/>
        <w:autoSpaceDN w:val="0"/>
        <w:adjustRightInd w:val="0"/>
        <w:rPr>
          <w:szCs w:val="20"/>
          <w:lang w:bidi="ru-RU"/>
        </w:rPr>
      </w:pPr>
      <w:r w:rsidRPr="007B4B0B">
        <w:rPr>
          <w:szCs w:val="20"/>
          <w:lang w:bidi="ru-RU"/>
        </w:rPr>
        <w:t>Название Объекта: ___________________________________________________</w:t>
      </w:r>
    </w:p>
    <w:p w:rsidR="003256EB" w:rsidRPr="007B4B0B" w:rsidRDefault="003256EB" w:rsidP="003256EB">
      <w:pPr>
        <w:widowControl w:val="0"/>
        <w:autoSpaceDE w:val="0"/>
        <w:autoSpaceDN w:val="0"/>
        <w:adjustRightInd w:val="0"/>
        <w:rPr>
          <w:szCs w:val="20"/>
          <w:lang w:bidi="ru-RU"/>
        </w:rPr>
      </w:pPr>
      <w:r w:rsidRPr="007B4B0B">
        <w:rPr>
          <w:szCs w:val="20"/>
          <w:lang w:bidi="ru-RU"/>
        </w:rPr>
        <w:t>Категория Объекта: ___________________________________________________</w:t>
      </w:r>
    </w:p>
    <w:p w:rsidR="003256EB" w:rsidRPr="007B4B0B" w:rsidRDefault="003256EB" w:rsidP="003256EB">
      <w:pPr>
        <w:widowControl w:val="0"/>
        <w:autoSpaceDE w:val="0"/>
        <w:autoSpaceDN w:val="0"/>
        <w:adjustRightInd w:val="0"/>
        <w:rPr>
          <w:szCs w:val="20"/>
          <w:lang w:bidi="ru-RU"/>
        </w:rPr>
      </w:pPr>
      <w:r w:rsidRPr="007B4B0B">
        <w:rPr>
          <w:szCs w:val="20"/>
          <w:lang w:bidi="ru-RU"/>
        </w:rPr>
        <w:t>Адрес Объекта: км__+__ - км__+__</w:t>
      </w:r>
    </w:p>
    <w:p w:rsidR="003256EB" w:rsidRPr="007B4B0B" w:rsidRDefault="003256EB" w:rsidP="003256EB">
      <w:pPr>
        <w:widowControl w:val="0"/>
        <w:autoSpaceDE w:val="0"/>
        <w:autoSpaceDN w:val="0"/>
        <w:adjustRightInd w:val="0"/>
        <w:rPr>
          <w:szCs w:val="20"/>
          <w:lang w:bidi="ru-RU"/>
        </w:rPr>
      </w:pPr>
      <w:r w:rsidRPr="007B4B0B">
        <w:rPr>
          <w:szCs w:val="20"/>
          <w:lang w:bidi="ru-RU"/>
        </w:rPr>
        <w:lastRenderedPageBreak/>
        <w:t>Характерный период: зимний период;      Год 20__ Месяц</w:t>
      </w:r>
    </w:p>
    <w:p w:rsidR="003256EB" w:rsidRPr="007B4B0B" w:rsidRDefault="003256EB" w:rsidP="003256EB">
      <w:pPr>
        <w:widowControl w:val="0"/>
        <w:autoSpaceDE w:val="0"/>
        <w:autoSpaceDN w:val="0"/>
        <w:adjustRightInd w:val="0"/>
        <w:rPr>
          <w:szCs w:val="20"/>
          <w:lang w:bidi="ru-RU"/>
        </w:rPr>
      </w:pPr>
      <w:r w:rsidRPr="007B4B0B">
        <w:rPr>
          <w:szCs w:val="20"/>
          <w:lang w:bidi="ru-RU"/>
        </w:rPr>
        <w:t>Требуемый Уровень Содержания Объекта  _______________________________</w:t>
      </w:r>
    </w:p>
    <w:p w:rsidR="003256EB" w:rsidRPr="007B4B0B" w:rsidRDefault="003256EB" w:rsidP="003256EB">
      <w:pPr>
        <w:widowControl w:val="0"/>
        <w:autoSpaceDE w:val="0"/>
        <w:autoSpaceDN w:val="0"/>
        <w:ind w:firstLine="426"/>
        <w:jc w:val="center"/>
        <w:rPr>
          <w:rFonts w:eastAsia="MS Mincho"/>
          <w:b/>
          <w:lang w:bidi="ru-RU"/>
        </w:rPr>
      </w:pPr>
    </w:p>
    <w:tbl>
      <w:tblPr>
        <w:tblW w:w="981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20" w:firstRow="1" w:lastRow="0" w:firstColumn="0" w:lastColumn="0" w:noHBand="0" w:noVBand="0"/>
      </w:tblPr>
      <w:tblGrid>
        <w:gridCol w:w="880"/>
        <w:gridCol w:w="3402"/>
        <w:gridCol w:w="850"/>
        <w:gridCol w:w="567"/>
        <w:gridCol w:w="709"/>
        <w:gridCol w:w="3402"/>
      </w:tblGrid>
      <w:tr w:rsidR="003256EB" w:rsidRPr="007B4B0B" w:rsidTr="003256EB">
        <w:trPr>
          <w:cantSplit/>
          <w:trHeight w:val="1168"/>
          <w:tblHeader/>
        </w:trPr>
        <w:tc>
          <w:tcPr>
            <w:tcW w:w="880" w:type="dxa"/>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ind w:left="-102" w:right="-109"/>
              <w:jc w:val="center"/>
              <w:rPr>
                <w:rFonts w:eastAsia="Calibri"/>
                <w:b/>
                <w:sz w:val="20"/>
                <w:szCs w:val="20"/>
                <w:lang w:bidi="ru-RU"/>
              </w:rPr>
            </w:pPr>
            <w:r w:rsidRPr="007B4B0B">
              <w:rPr>
                <w:rFonts w:eastAsia="Calibri"/>
                <w:b/>
                <w:sz w:val="20"/>
                <w:szCs w:val="20"/>
                <w:lang w:bidi="ru-RU"/>
              </w:rPr>
              <w:t>№ п/п</w:t>
            </w:r>
          </w:p>
          <w:p w:rsidR="003256EB" w:rsidRPr="007B4B0B" w:rsidRDefault="003256EB" w:rsidP="003256EB">
            <w:pPr>
              <w:widowControl w:val="0"/>
              <w:autoSpaceDE w:val="0"/>
              <w:autoSpaceDN w:val="0"/>
              <w:ind w:left="-120" w:right="-109"/>
              <w:jc w:val="center"/>
              <w:rPr>
                <w:rFonts w:eastAsia="Calibri"/>
                <w:b/>
                <w:sz w:val="20"/>
                <w:szCs w:val="20"/>
                <w:lang w:bidi="ru-RU"/>
              </w:rPr>
            </w:pPr>
          </w:p>
        </w:tc>
        <w:tc>
          <w:tcPr>
            <w:tcW w:w="3402" w:type="dxa"/>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
                <w:sz w:val="20"/>
                <w:szCs w:val="20"/>
                <w:lang w:bidi="ru-RU"/>
              </w:rPr>
            </w:pPr>
            <w:r w:rsidRPr="007B4B0B">
              <w:rPr>
                <w:rFonts w:eastAsia="Calibri"/>
                <w:b/>
                <w:sz w:val="20"/>
                <w:szCs w:val="20"/>
                <w:lang w:bidi="ru-RU"/>
              </w:rPr>
              <w:t>Наименование Показателя, Дефекта содержания Объекта</w:t>
            </w:r>
            <w:r w:rsidRPr="007B4B0B">
              <w:rPr>
                <w:rFonts w:eastAsia="Calibri"/>
                <w:b/>
                <w:sz w:val="20"/>
                <w:szCs w:val="20"/>
                <w:vertAlign w:val="superscript"/>
                <w:lang w:bidi="ru-RU"/>
              </w:rPr>
              <w:footnoteReference w:id="5"/>
            </w:r>
          </w:p>
        </w:tc>
        <w:tc>
          <w:tcPr>
            <w:tcW w:w="850" w:type="dxa"/>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
                <w:sz w:val="20"/>
                <w:szCs w:val="20"/>
                <w:lang w:bidi="ru-RU"/>
              </w:rPr>
            </w:pPr>
            <w:r w:rsidRPr="007B4B0B">
              <w:rPr>
                <w:rFonts w:eastAsia="Calibri"/>
                <w:b/>
                <w:sz w:val="20"/>
                <w:szCs w:val="20"/>
                <w:lang w:bidi="ru-RU"/>
              </w:rPr>
              <w:t>Ед. изм.</w:t>
            </w:r>
          </w:p>
        </w:tc>
        <w:tc>
          <w:tcPr>
            <w:tcW w:w="567" w:type="dxa"/>
            <w:tcBorders>
              <w:top w:val="single" w:sz="8" w:space="0" w:color="auto"/>
              <w:left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
                <w:sz w:val="20"/>
                <w:szCs w:val="20"/>
                <w:vertAlign w:val="superscript"/>
                <w:lang w:bidi="ru-RU"/>
              </w:rPr>
            </w:pPr>
            <w:r w:rsidRPr="007B4B0B">
              <w:rPr>
                <w:rFonts w:eastAsia="Calibri"/>
                <w:b/>
                <w:i/>
                <w:sz w:val="20"/>
                <w:szCs w:val="20"/>
                <w:lang w:bidi="ru-RU"/>
              </w:rPr>
              <w:t>КС</w:t>
            </w:r>
            <w:r w:rsidRPr="007B4B0B">
              <w:rPr>
                <w:rFonts w:eastAsia="Calibri"/>
                <w:b/>
                <w:i/>
                <w:sz w:val="20"/>
                <w:szCs w:val="20"/>
                <w:vertAlign w:val="subscript"/>
                <w:lang w:val="en-US" w:bidi="ru-RU"/>
              </w:rPr>
              <w:t>i</w:t>
            </w:r>
          </w:p>
        </w:tc>
        <w:tc>
          <w:tcPr>
            <w:tcW w:w="709" w:type="dxa"/>
            <w:tcBorders>
              <w:top w:val="single" w:sz="8" w:space="0" w:color="auto"/>
              <w:left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
                <w:sz w:val="20"/>
                <w:szCs w:val="20"/>
                <w:lang w:bidi="ru-RU"/>
              </w:rPr>
            </w:pPr>
            <w:r w:rsidRPr="007B4B0B">
              <w:rPr>
                <w:rFonts w:eastAsia="Calibri"/>
                <w:b/>
                <w:sz w:val="20"/>
                <w:szCs w:val="20"/>
                <w:lang w:bidi="ru-RU"/>
              </w:rPr>
              <w:t>КСД</w:t>
            </w:r>
            <w:r w:rsidRPr="007B4B0B">
              <w:rPr>
                <w:rFonts w:eastAsia="Calibri"/>
                <w:b/>
                <w:i/>
                <w:sz w:val="20"/>
                <w:szCs w:val="20"/>
                <w:vertAlign w:val="subscript"/>
                <w:lang w:val="en-US" w:bidi="ru-RU"/>
              </w:rPr>
              <w:t>i</w:t>
            </w:r>
          </w:p>
        </w:tc>
        <w:tc>
          <w:tcPr>
            <w:tcW w:w="3402" w:type="dxa"/>
            <w:tcBorders>
              <w:top w:val="single" w:sz="8" w:space="0" w:color="auto"/>
              <w:left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
                <w:sz w:val="20"/>
                <w:szCs w:val="20"/>
                <w:lang w:bidi="ru-RU"/>
              </w:rPr>
            </w:pPr>
            <w:r w:rsidRPr="007B4B0B">
              <w:rPr>
                <w:rFonts w:eastAsia="Calibri"/>
                <w:b/>
                <w:sz w:val="20"/>
                <w:szCs w:val="20"/>
                <w:lang w:bidi="ru-RU"/>
              </w:rPr>
              <w:t>Километры</w:t>
            </w:r>
            <w:r w:rsidRPr="007B4B0B">
              <w:rPr>
                <w:rFonts w:eastAsia="Calibri"/>
                <w:b/>
                <w:sz w:val="20"/>
                <w:szCs w:val="20"/>
                <w:vertAlign w:val="superscript"/>
                <w:lang w:bidi="ru-RU"/>
              </w:rPr>
              <w:footnoteReference w:id="6"/>
            </w:r>
            <w:r w:rsidRPr="007B4B0B">
              <w:rPr>
                <w:rFonts w:eastAsia="Calibri"/>
                <w:b/>
                <w:sz w:val="20"/>
                <w:szCs w:val="20"/>
                <w:lang w:bidi="ru-RU"/>
              </w:rPr>
              <w:t xml:space="preserve"> с выявленными несоответствиями Показателей Содержания и/или наличием Дефектов Содержания</w:t>
            </w:r>
          </w:p>
        </w:tc>
      </w:tr>
      <w:tr w:rsidR="003256EB" w:rsidRPr="007B4B0B" w:rsidTr="003256EB">
        <w:trPr>
          <w:cantSplit/>
          <w:trHeight w:val="38"/>
          <w:tblHeader/>
        </w:trPr>
        <w:tc>
          <w:tcPr>
            <w:tcW w:w="88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r w:rsidRPr="007B4B0B">
              <w:rPr>
                <w:rFonts w:eastAsia="Calibri"/>
                <w:bCs/>
                <w:sz w:val="16"/>
                <w:szCs w:val="16"/>
                <w:lang w:bidi="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r w:rsidRPr="007B4B0B">
              <w:rPr>
                <w:rFonts w:eastAsia="Calibri"/>
                <w:bCs/>
                <w:sz w:val="16"/>
                <w:szCs w:val="16"/>
                <w:lang w:bidi="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r w:rsidRPr="007B4B0B">
              <w:rPr>
                <w:rFonts w:eastAsia="Calibri"/>
                <w:bCs/>
                <w:sz w:val="16"/>
                <w:szCs w:val="16"/>
                <w:lang w:bidi="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Cs/>
                <w:sz w:val="16"/>
                <w:szCs w:val="16"/>
                <w:lang w:bidi="ru-RU"/>
              </w:rPr>
            </w:pPr>
            <w:r w:rsidRPr="007B4B0B">
              <w:rPr>
                <w:rFonts w:eastAsia="Calibri"/>
                <w:bCs/>
                <w:sz w:val="16"/>
                <w:szCs w:val="16"/>
                <w:lang w:bidi="ru-RU"/>
              </w:rPr>
              <w:t>4</w:t>
            </w:r>
          </w:p>
        </w:tc>
        <w:tc>
          <w:tcPr>
            <w:tcW w:w="709" w:type="dxa"/>
            <w:tcBorders>
              <w:top w:val="single" w:sz="4" w:space="0" w:color="auto"/>
              <w:left w:val="single" w:sz="4" w:space="0" w:color="auto"/>
              <w:bottom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Cs/>
                <w:sz w:val="16"/>
                <w:szCs w:val="16"/>
                <w:lang w:bidi="ru-RU"/>
              </w:rPr>
            </w:pPr>
            <w:r w:rsidRPr="007B4B0B">
              <w:rPr>
                <w:rFonts w:eastAsia="Calibri"/>
                <w:bCs/>
                <w:sz w:val="16"/>
                <w:szCs w:val="16"/>
                <w:lang w:bidi="ru-RU"/>
              </w:rPr>
              <w:t>5</w:t>
            </w:r>
          </w:p>
        </w:tc>
        <w:tc>
          <w:tcPr>
            <w:tcW w:w="3402" w:type="dxa"/>
            <w:tcBorders>
              <w:top w:val="single" w:sz="4" w:space="0" w:color="auto"/>
              <w:left w:val="single" w:sz="4" w:space="0" w:color="auto"/>
              <w:bottom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Cs/>
                <w:sz w:val="16"/>
                <w:szCs w:val="16"/>
                <w:lang w:bidi="ru-RU"/>
              </w:rPr>
            </w:pPr>
            <w:r w:rsidRPr="007B4B0B">
              <w:rPr>
                <w:rFonts w:eastAsia="Calibri"/>
                <w:bCs/>
                <w:sz w:val="16"/>
                <w:szCs w:val="16"/>
                <w:lang w:bidi="ru-RU"/>
              </w:rPr>
              <w:t>6</w:t>
            </w:r>
          </w:p>
        </w:tc>
      </w:tr>
      <w:tr w:rsidR="003256EB" w:rsidRPr="007B4B0B" w:rsidTr="003256EB">
        <w:trPr>
          <w:cantSplit/>
          <w:trHeight w:val="38"/>
          <w:tblHeader/>
        </w:trPr>
        <w:tc>
          <w:tcPr>
            <w:tcW w:w="88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340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85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56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Cs/>
                <w:sz w:val="16"/>
                <w:szCs w:val="16"/>
                <w:lang w:bidi="ru-RU"/>
              </w:rPr>
            </w:pPr>
          </w:p>
        </w:tc>
        <w:tc>
          <w:tcPr>
            <w:tcW w:w="709" w:type="dxa"/>
            <w:tcBorders>
              <w:top w:val="single" w:sz="4" w:space="0" w:color="auto"/>
              <w:left w:val="single" w:sz="4" w:space="0" w:color="auto"/>
              <w:bottom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Cs/>
                <w:sz w:val="16"/>
                <w:szCs w:val="16"/>
                <w:lang w:bidi="ru-RU"/>
              </w:rPr>
            </w:pPr>
          </w:p>
        </w:tc>
        <w:tc>
          <w:tcPr>
            <w:tcW w:w="3402" w:type="dxa"/>
            <w:tcBorders>
              <w:top w:val="single" w:sz="4" w:space="0" w:color="auto"/>
              <w:left w:val="single" w:sz="4" w:space="0" w:color="auto"/>
              <w:bottom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Cs/>
                <w:sz w:val="16"/>
                <w:szCs w:val="16"/>
                <w:lang w:bidi="ru-RU"/>
              </w:rPr>
            </w:pPr>
          </w:p>
        </w:tc>
      </w:tr>
      <w:tr w:rsidR="003256EB" w:rsidRPr="007B4B0B" w:rsidTr="003256EB">
        <w:trPr>
          <w:cantSplit/>
          <w:trHeight w:val="38"/>
          <w:tblHeader/>
        </w:trPr>
        <w:tc>
          <w:tcPr>
            <w:tcW w:w="88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340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85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56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Cs/>
                <w:sz w:val="16"/>
                <w:szCs w:val="16"/>
                <w:lang w:bidi="ru-RU"/>
              </w:rPr>
            </w:pPr>
          </w:p>
        </w:tc>
        <w:tc>
          <w:tcPr>
            <w:tcW w:w="709" w:type="dxa"/>
            <w:tcBorders>
              <w:top w:val="single" w:sz="4" w:space="0" w:color="auto"/>
              <w:left w:val="single" w:sz="4" w:space="0" w:color="auto"/>
              <w:bottom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Cs/>
                <w:sz w:val="16"/>
                <w:szCs w:val="16"/>
                <w:lang w:bidi="ru-RU"/>
              </w:rPr>
            </w:pPr>
          </w:p>
        </w:tc>
        <w:tc>
          <w:tcPr>
            <w:tcW w:w="3402" w:type="dxa"/>
            <w:tcBorders>
              <w:top w:val="single" w:sz="4" w:space="0" w:color="auto"/>
              <w:left w:val="single" w:sz="4" w:space="0" w:color="auto"/>
              <w:bottom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Cs/>
                <w:sz w:val="16"/>
                <w:szCs w:val="16"/>
                <w:lang w:bidi="ru-RU"/>
              </w:rPr>
            </w:pPr>
          </w:p>
        </w:tc>
      </w:tr>
      <w:tr w:rsidR="003256EB" w:rsidRPr="007B4B0B" w:rsidTr="003256EB">
        <w:trPr>
          <w:cantSplit/>
          <w:trHeight w:val="38"/>
          <w:tblHeader/>
        </w:trPr>
        <w:tc>
          <w:tcPr>
            <w:tcW w:w="88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340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850"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jc w:val="center"/>
              <w:rPr>
                <w:rFonts w:eastAsia="Calibri"/>
                <w:bCs/>
                <w:sz w:val="16"/>
                <w:szCs w:val="16"/>
                <w:lang w:bidi="ru-RU"/>
              </w:rPr>
            </w:pPr>
          </w:p>
        </w:tc>
        <w:tc>
          <w:tcPr>
            <w:tcW w:w="56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ind w:left="-44" w:right="-108"/>
              <w:jc w:val="center"/>
              <w:rPr>
                <w:rFonts w:eastAsia="Calibri"/>
                <w:bCs/>
                <w:sz w:val="16"/>
                <w:szCs w:val="16"/>
                <w:lang w:bidi="ru-RU"/>
              </w:rPr>
            </w:pPr>
          </w:p>
        </w:tc>
        <w:tc>
          <w:tcPr>
            <w:tcW w:w="709" w:type="dxa"/>
            <w:tcBorders>
              <w:top w:val="single" w:sz="4" w:space="0" w:color="auto"/>
              <w:left w:val="single" w:sz="4" w:space="0" w:color="auto"/>
              <w:bottom w:val="single" w:sz="4" w:space="0" w:color="auto"/>
              <w:right w:val="single" w:sz="8" w:space="0" w:color="auto"/>
            </w:tcBorders>
            <w:vAlign w:val="center"/>
          </w:tcPr>
          <w:p w:rsidR="003256EB" w:rsidRPr="007B4B0B" w:rsidRDefault="003256EB" w:rsidP="003256EB">
            <w:pPr>
              <w:widowControl w:val="0"/>
              <w:autoSpaceDE w:val="0"/>
              <w:autoSpaceDN w:val="0"/>
              <w:ind w:left="-108" w:right="-108"/>
              <w:jc w:val="center"/>
              <w:rPr>
                <w:rFonts w:eastAsia="Calibri"/>
                <w:bCs/>
                <w:sz w:val="16"/>
                <w:szCs w:val="16"/>
                <w:lang w:bidi="ru-RU"/>
              </w:rPr>
            </w:pPr>
          </w:p>
        </w:tc>
        <w:tc>
          <w:tcPr>
            <w:tcW w:w="3402" w:type="dxa"/>
            <w:tcBorders>
              <w:top w:val="single" w:sz="4" w:space="0" w:color="auto"/>
              <w:left w:val="single" w:sz="4" w:space="0" w:color="auto"/>
              <w:bottom w:val="single" w:sz="4" w:space="0" w:color="auto"/>
              <w:right w:val="single" w:sz="8" w:space="0" w:color="auto"/>
            </w:tcBorders>
          </w:tcPr>
          <w:p w:rsidR="003256EB" w:rsidRPr="007B4B0B" w:rsidRDefault="003256EB" w:rsidP="003256EB">
            <w:pPr>
              <w:widowControl w:val="0"/>
              <w:autoSpaceDE w:val="0"/>
              <w:autoSpaceDN w:val="0"/>
              <w:ind w:left="-108" w:right="-108"/>
              <w:jc w:val="center"/>
              <w:rPr>
                <w:rFonts w:eastAsia="Calibri"/>
                <w:bCs/>
                <w:sz w:val="16"/>
                <w:szCs w:val="16"/>
                <w:lang w:bidi="ru-RU"/>
              </w:rPr>
            </w:pPr>
          </w:p>
        </w:tc>
      </w:tr>
    </w:tbl>
    <w:p w:rsidR="003256EB" w:rsidRPr="007B4B0B" w:rsidRDefault="003256EB" w:rsidP="003256EB">
      <w:pPr>
        <w:widowControl w:val="0"/>
        <w:autoSpaceDE w:val="0"/>
        <w:autoSpaceDN w:val="0"/>
        <w:rPr>
          <w:rFonts w:eastAsia="Calibri"/>
          <w:bCs/>
          <w:sz w:val="20"/>
          <w:szCs w:val="20"/>
          <w:lang w:bidi="ru-RU"/>
        </w:rPr>
      </w:pPr>
      <w:r w:rsidRPr="007B4B0B">
        <w:rPr>
          <w:rFonts w:eastAsia="Calibri"/>
          <w:bCs/>
          <w:sz w:val="20"/>
          <w:szCs w:val="20"/>
          <w:lang w:bidi="ru-RU"/>
        </w:rPr>
        <w:tab/>
      </w:r>
    </w:p>
    <w:p w:rsidR="003256EB" w:rsidRPr="007B4B0B" w:rsidRDefault="003256EB" w:rsidP="003256EB">
      <w:pPr>
        <w:widowControl w:val="0"/>
        <w:autoSpaceDE w:val="0"/>
        <w:autoSpaceDN w:val="0"/>
        <w:rPr>
          <w:rFonts w:eastAsia="Calibri"/>
          <w:bCs/>
          <w:sz w:val="20"/>
          <w:szCs w:val="20"/>
          <w:lang w:bidi="ru-RU"/>
        </w:rPr>
      </w:pPr>
    </w:p>
    <w:p w:rsidR="003256EB" w:rsidRPr="007B4B0B" w:rsidRDefault="003256EB" w:rsidP="003256EB">
      <w:pPr>
        <w:widowControl w:val="0"/>
        <w:autoSpaceDE w:val="0"/>
        <w:autoSpaceDN w:val="0"/>
        <w:rPr>
          <w:rFonts w:eastAsia="Calibri"/>
          <w:bCs/>
          <w:sz w:val="20"/>
          <w:szCs w:val="20"/>
          <w:lang w:bidi="ru-RU"/>
        </w:rPr>
      </w:pPr>
      <w:r w:rsidRPr="007B4B0B">
        <w:rPr>
          <w:rFonts w:eastAsia="Calibri"/>
          <w:bCs/>
          <w:sz w:val="20"/>
          <w:szCs w:val="20"/>
          <w:lang w:bidi="ru-RU"/>
        </w:rPr>
        <w:t>Представитель Заказчика</w:t>
      </w:r>
    </w:p>
    <w:p w:rsidR="003256EB" w:rsidRPr="007B4B0B" w:rsidRDefault="003256EB" w:rsidP="003256EB">
      <w:pPr>
        <w:widowControl w:val="0"/>
        <w:autoSpaceDE w:val="0"/>
        <w:autoSpaceDN w:val="0"/>
        <w:rPr>
          <w:rFonts w:eastAsia="Calibri"/>
          <w:bCs/>
          <w:sz w:val="20"/>
          <w:szCs w:val="20"/>
          <w:lang w:bidi="ru-RU"/>
        </w:rPr>
      </w:pPr>
    </w:p>
    <w:p w:rsidR="003256EB" w:rsidRPr="007B4B0B" w:rsidRDefault="003256EB" w:rsidP="003256EB">
      <w:pPr>
        <w:widowControl w:val="0"/>
        <w:autoSpaceDE w:val="0"/>
        <w:autoSpaceDN w:val="0"/>
        <w:rPr>
          <w:rFonts w:eastAsia="Calibri"/>
          <w:bCs/>
          <w:sz w:val="20"/>
          <w:szCs w:val="20"/>
          <w:lang w:bidi="ru-RU"/>
        </w:rPr>
      </w:pPr>
    </w:p>
    <w:p w:rsidR="003256EB" w:rsidRPr="007B4B0B" w:rsidRDefault="003256EB" w:rsidP="003256EB">
      <w:pPr>
        <w:widowControl w:val="0"/>
        <w:autoSpaceDE w:val="0"/>
        <w:autoSpaceDN w:val="0"/>
        <w:rPr>
          <w:rFonts w:eastAsia="Calibri"/>
          <w:bCs/>
          <w:sz w:val="20"/>
          <w:szCs w:val="20"/>
          <w:lang w:bidi="ru-RU"/>
        </w:rPr>
      </w:pPr>
      <w:r w:rsidRPr="007B4B0B">
        <w:rPr>
          <w:rFonts w:eastAsia="Calibri"/>
          <w:bCs/>
          <w:sz w:val="20"/>
          <w:szCs w:val="20"/>
          <w:lang w:bidi="ru-RU"/>
        </w:rPr>
        <w:t>Представитель Подрядчика</w:t>
      </w:r>
      <w:bookmarkStart w:id="0" w:name="_GoBack"/>
      <w:bookmarkEnd w:id="0"/>
    </w:p>
    <w:sectPr w:rsidR="003256EB" w:rsidRPr="007B4B0B" w:rsidSect="00844A2D">
      <w:footerReference w:type="default" r:id="rId8"/>
      <w:pgSz w:w="11906" w:h="16838"/>
      <w:pgMar w:top="1134" w:right="51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AFA" w:rsidRDefault="001B5AFA" w:rsidP="00520FE2">
      <w:r>
        <w:separator/>
      </w:r>
    </w:p>
  </w:endnote>
  <w:endnote w:type="continuationSeparator" w:id="0">
    <w:p w:rsidR="001B5AFA" w:rsidRDefault="001B5AFA"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AFA" w:rsidRDefault="001B5AFA" w:rsidP="00520FE2">
      <w:r>
        <w:separator/>
      </w:r>
    </w:p>
  </w:footnote>
  <w:footnote w:type="continuationSeparator" w:id="0">
    <w:p w:rsidR="001B5AFA" w:rsidRDefault="001B5AFA" w:rsidP="00520FE2">
      <w:r>
        <w:continuationSeparator/>
      </w:r>
    </w:p>
  </w:footnote>
  <w:footnote w:id="1">
    <w:p w:rsidR="001E205D" w:rsidRPr="001305A8" w:rsidRDefault="001E205D" w:rsidP="003256EB">
      <w:pPr>
        <w:pStyle w:val="aff8"/>
      </w:pPr>
      <w:r w:rsidRPr="001305A8">
        <w:rPr>
          <w:rStyle w:val="affa"/>
        </w:rPr>
        <w:footnoteRef/>
      </w:r>
      <w:r w:rsidRPr="001305A8">
        <w:t xml:space="preserve"> - Промежуточной ведомости присваивается номер в формате «№ </w:t>
      </w:r>
      <w:r w:rsidRPr="001305A8">
        <w:rPr>
          <w:u w:val="single"/>
        </w:rPr>
        <w:t>1</w:t>
      </w:r>
      <w:r w:rsidRPr="001305A8">
        <w:t>/</w:t>
      </w:r>
      <w:r w:rsidRPr="001305A8">
        <w:rPr>
          <w:u w:val="single"/>
        </w:rPr>
        <w:t>161</w:t>
      </w:r>
      <w:r w:rsidRPr="001305A8">
        <w:t>/</w:t>
      </w:r>
      <w:r w:rsidRPr="001305A8">
        <w:rPr>
          <w:u w:val="single"/>
        </w:rPr>
        <w:t>ГК</w:t>
      </w:r>
      <w:r w:rsidRPr="001305A8">
        <w:t>/</w:t>
      </w:r>
      <w:r w:rsidRPr="001305A8">
        <w:rPr>
          <w:u w:val="single"/>
        </w:rPr>
        <w:t>АД</w:t>
      </w:r>
      <w:r w:rsidRPr="001305A8">
        <w:t>», где 1- номер по порядку (присвоенный Промежуточной Ведомости), 161-номер договора, ГК-аббревиатура центрального аппарата или подразделений Государственной компании: ГК - Государственная компания «Автодор», ВФ –Воронежский филиал, ГФ – Голицынский филиал, КФ – Калужский филиал, ТФ – Тверской филиал, СПбФ – Санкт-Петербургский филиал, КрФ – Краснодарский филиал, РФ – Ростовский филиал, МФ – Майкопский филиал, КзФ – Казанский филиал, АД – аббревиатура ответственного подразделения: АД – отдел содержания автомобильных дорог, БДД - отдел безопасности дорожного движения, ИДС – отдел содержания искусственных дорожных сооружений.</w:t>
      </w:r>
    </w:p>
  </w:footnote>
  <w:footnote w:id="2">
    <w:p w:rsidR="001E205D" w:rsidRPr="001305A8" w:rsidRDefault="001E205D" w:rsidP="003256EB">
      <w:pPr>
        <w:pStyle w:val="aff8"/>
        <w:rPr>
          <w:spacing w:val="-4"/>
        </w:rPr>
      </w:pPr>
      <w:r w:rsidRPr="001305A8">
        <w:rPr>
          <w:rStyle w:val="affa"/>
          <w:spacing w:val="-4"/>
        </w:rPr>
        <w:footnoteRef/>
      </w:r>
      <w:r w:rsidRPr="001305A8">
        <w:rPr>
          <w:spacing w:val="-4"/>
        </w:rPr>
        <w:t xml:space="preserve"> - Перечень принимается в соответствии с </w:t>
      </w:r>
      <w:r w:rsidRPr="001305A8">
        <w:t xml:space="preserve">Типовым приложением </w:t>
      </w:r>
      <w:r w:rsidRPr="001305A8">
        <w:rPr>
          <w:lang w:bidi="ru-RU"/>
        </w:rPr>
        <w:t>№ 121, утвержденным приказом Государственной компании «Российские автомобильные дороги»</w:t>
      </w:r>
      <w:r w:rsidRPr="001305A8">
        <w:t xml:space="preserve"> </w:t>
      </w:r>
      <w:r w:rsidRPr="001305A8">
        <w:rPr>
          <w:spacing w:val="-4"/>
        </w:rPr>
        <w:t>для соответствующего периода (Ф.1).</w:t>
      </w:r>
    </w:p>
  </w:footnote>
  <w:footnote w:id="3">
    <w:p w:rsidR="001E205D" w:rsidRPr="001305A8" w:rsidRDefault="001E205D" w:rsidP="003256EB">
      <w:pPr>
        <w:pStyle w:val="aff8"/>
      </w:pPr>
      <w:r w:rsidRPr="001305A8">
        <w:rPr>
          <w:rStyle w:val="affa"/>
        </w:rPr>
        <w:footnoteRef/>
      </w:r>
      <w:r w:rsidRPr="001305A8">
        <w:t xml:space="preserve"> - Километр на котором Заказчиком в Предписании о Замечаниях зафиксировано нарушение директивного срока устранения дефекта, по результатам предыдущей Оценки Уровня Содержания и/или Приемки услуг, в Промежуточной ведомости указывается со звездочкой «*». Данный Километр переносится в Промежуточную Ведомость, оформляемую по результатам Приемки услуг согласно п. 3.2.23 Типовых требований.</w:t>
      </w:r>
    </w:p>
  </w:footnote>
  <w:footnote w:id="4">
    <w:p w:rsidR="001E205D" w:rsidRPr="001305A8" w:rsidRDefault="001E205D" w:rsidP="003256EB">
      <w:pPr>
        <w:pStyle w:val="aff8"/>
      </w:pPr>
      <w:r w:rsidRPr="001305A8">
        <w:rPr>
          <w:rStyle w:val="affa"/>
        </w:rPr>
        <w:footnoteRef/>
      </w:r>
      <w:r w:rsidRPr="001305A8">
        <w:t xml:space="preserve"> - Промежуточной ведомости присваивается номер в формате «№ </w:t>
      </w:r>
      <w:r w:rsidRPr="001305A8">
        <w:rPr>
          <w:u w:val="single"/>
        </w:rPr>
        <w:t>1</w:t>
      </w:r>
      <w:r w:rsidRPr="001305A8">
        <w:t>/</w:t>
      </w:r>
      <w:r w:rsidRPr="001305A8">
        <w:rPr>
          <w:u w:val="single"/>
        </w:rPr>
        <w:t>161</w:t>
      </w:r>
      <w:r w:rsidRPr="001305A8">
        <w:t>/</w:t>
      </w:r>
      <w:r w:rsidRPr="001305A8">
        <w:rPr>
          <w:u w:val="single"/>
        </w:rPr>
        <w:t>ГК</w:t>
      </w:r>
      <w:r w:rsidRPr="001305A8">
        <w:t>/</w:t>
      </w:r>
      <w:r w:rsidRPr="001305A8">
        <w:rPr>
          <w:u w:val="single"/>
        </w:rPr>
        <w:t>АД</w:t>
      </w:r>
      <w:r w:rsidRPr="001305A8">
        <w:t>», где 1- номер по порядку (присвоенный Промежуточной Ведомости), 161-номер договора, ГК-аббревиатура центрального аппарата или подразделений Государственной компании: ГК - Государственная компания «Автодор», ВФ –Воронежский филиал, ГФ – Голицынский филиал, КФ – Калужский филиал, ТФ – Тверской филиал, СПбФ – Санкт-Петербургский филиал, КрФ – Краснодарский филиал, РФ – Ростовский филиал, МФ – Майкопский филиал, КзФ – Казанский филиал, АД – аббревиатура ответственного подразделения: АД – отдел содержания автомобильных дорог, БДД - отдел безопасности дорожного движения, ИДС – отдел содержания искусственных дорожных сооружений.</w:t>
      </w:r>
    </w:p>
  </w:footnote>
  <w:footnote w:id="5">
    <w:p w:rsidR="001E205D" w:rsidRPr="001305A8" w:rsidRDefault="001E205D" w:rsidP="003256EB">
      <w:pPr>
        <w:pStyle w:val="aff8"/>
        <w:rPr>
          <w:spacing w:val="-4"/>
        </w:rPr>
      </w:pPr>
      <w:r w:rsidRPr="001305A8">
        <w:rPr>
          <w:rStyle w:val="affa"/>
          <w:spacing w:val="-4"/>
        </w:rPr>
        <w:footnoteRef/>
      </w:r>
      <w:r w:rsidRPr="001305A8">
        <w:rPr>
          <w:spacing w:val="-4"/>
        </w:rPr>
        <w:t xml:space="preserve"> - Перечень принимается в соответствии с </w:t>
      </w:r>
      <w:r w:rsidRPr="001305A8">
        <w:t xml:space="preserve">Типовым приложением </w:t>
      </w:r>
      <w:r w:rsidRPr="001305A8">
        <w:rPr>
          <w:lang w:bidi="ru-RU"/>
        </w:rPr>
        <w:t>№ 121, утвержденным приказом Государственной компании «Российские автомобильные дороги»</w:t>
      </w:r>
      <w:r w:rsidRPr="001305A8">
        <w:t xml:space="preserve"> </w:t>
      </w:r>
      <w:r w:rsidRPr="001305A8">
        <w:rPr>
          <w:spacing w:val="-4"/>
        </w:rPr>
        <w:t>для соответствующего периода (Ф.2).</w:t>
      </w:r>
    </w:p>
  </w:footnote>
  <w:footnote w:id="6">
    <w:p w:rsidR="001E205D" w:rsidRPr="001305A8" w:rsidRDefault="001E205D" w:rsidP="003256EB">
      <w:pPr>
        <w:pStyle w:val="aff8"/>
      </w:pPr>
      <w:r w:rsidRPr="001305A8">
        <w:rPr>
          <w:rStyle w:val="affa"/>
        </w:rPr>
        <w:footnoteRef/>
      </w:r>
      <w:r w:rsidRPr="001305A8">
        <w:t xml:space="preserve"> - Километр, на котором Заказчиком в Предписании о Замечаниях зафиксировано нарушение директивного срока устранения дефекта, по результатам предыдущей Оценки Уровня Содержания и/или Приемки услуг, в Промежуточной ведомости указывается со звездочкой «*». Данный Километр переносится в Промежуточную Ведомость, оформляемую по результатам Приемки услуг согласно п. 3.2.23 Типовых требований.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5AFA"/>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A2D"/>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BE75-6CA9-489A-ADC5-77D657A5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2025-11-25T11:25:00Z</dcterms:created>
  <dcterms:modified xsi:type="dcterms:W3CDTF">2025-11-25T11:25:00Z</dcterms:modified>
</cp:coreProperties>
</file>