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Default="0054569C" w:rsidP="006B3726">
      <w:pPr>
        <w:ind w:left="5812"/>
        <w:jc w:val="center"/>
      </w:pPr>
      <w:r>
        <w:t>от «21» ноября 2025 г. № 508</w:t>
      </w:r>
    </w:p>
    <w:p w:rsidR="007411F0" w:rsidRDefault="007411F0" w:rsidP="006B3726">
      <w:pPr>
        <w:ind w:left="5812"/>
        <w:jc w:val="center"/>
      </w:pPr>
    </w:p>
    <w:p w:rsidR="007411F0" w:rsidRDefault="007411F0" w:rsidP="006B3726">
      <w:pPr>
        <w:ind w:left="5812"/>
        <w:jc w:val="center"/>
      </w:pPr>
      <w:r w:rsidRPr="00F80FD0">
        <w:t>(в ред. приказа № 102 от 01.04.2026)</w:t>
      </w:r>
    </w:p>
    <w:p w:rsidR="007411F0" w:rsidRPr="006B3726" w:rsidRDefault="007411F0" w:rsidP="006B3726">
      <w:pPr>
        <w:ind w:left="5812"/>
        <w:jc w:val="center"/>
      </w:pP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147</w:t>
      </w:r>
      <w:r w:rsidRPr="007B4B0B">
        <w:t>. Формы промежуточной ведомости</w:t>
      </w:r>
      <w:r w:rsidR="00B53F66">
        <w:t xml:space="preserve"> оценки уровня содержания очистных сооружений</w:t>
      </w:r>
      <w:r w:rsidR="00F5230A" w:rsidRPr="005E7F0D">
        <w:t xml:space="preserve"> (для договоров на содержание)</w:t>
      </w:r>
    </w:p>
    <w:p w:rsidR="00F1558B" w:rsidRPr="007B4B0B" w:rsidRDefault="00F1558B" w:rsidP="00F1558B">
      <w:pPr>
        <w:ind w:firstLine="426"/>
        <w:jc w:val="center"/>
        <w:rPr>
          <w:rFonts w:eastAsia="MS Mincho"/>
          <w:b/>
        </w:rPr>
      </w:pPr>
    </w:p>
    <w:p w:rsidR="00F1558B" w:rsidRPr="007B4B0B" w:rsidRDefault="00F1558B" w:rsidP="00F1558B">
      <w:pPr>
        <w:ind w:firstLine="426"/>
        <w:jc w:val="right"/>
        <w:rPr>
          <w:rFonts w:eastAsia="MS Mincho"/>
          <w:b/>
          <w:i/>
        </w:rPr>
      </w:pPr>
      <w:r w:rsidRPr="007B4B0B">
        <w:rPr>
          <w:rFonts w:eastAsia="MS Mincho"/>
          <w:b/>
          <w:i/>
        </w:rPr>
        <w:t>Ф.1</w:t>
      </w:r>
    </w:p>
    <w:p w:rsidR="00F1558B" w:rsidRPr="007B4B0B" w:rsidRDefault="00F1558B" w:rsidP="00F1558B">
      <w:pPr>
        <w:jc w:val="center"/>
        <w:rPr>
          <w:b/>
          <w:szCs w:val="20"/>
        </w:rPr>
      </w:pPr>
      <w:r w:rsidRPr="007B4B0B">
        <w:rPr>
          <w:rFonts w:eastAsia="MS Mincho"/>
          <w:b/>
          <w:i/>
        </w:rPr>
        <w:t xml:space="preserve">Промежуточная Ведомость </w:t>
      </w:r>
      <w:r w:rsidRPr="007B4B0B">
        <w:rPr>
          <w:i/>
          <w:noProof/>
        </w:rPr>
        <w:t xml:space="preserve">Оценки Уровня содержания ОС </w:t>
      </w:r>
      <w:r w:rsidRPr="007B4B0B">
        <w:rPr>
          <w:b/>
          <w:szCs w:val="28"/>
        </w:rPr>
        <w:t>№</w:t>
      </w:r>
      <w:r w:rsidRPr="007B4B0B">
        <w:rPr>
          <w:rStyle w:val="affa"/>
          <w:rFonts w:eastAsiaTheme="majorEastAsia"/>
          <w:b/>
          <w:szCs w:val="28"/>
        </w:rPr>
        <w:footnoteReference w:id="1"/>
      </w:r>
      <w:r w:rsidRPr="007B4B0B">
        <w:rPr>
          <w:b/>
          <w:szCs w:val="28"/>
        </w:rPr>
        <w:t xml:space="preserve"> ___/___/___/___</w:t>
      </w:r>
    </w:p>
    <w:p w:rsidR="00F1558B" w:rsidRPr="007B4B0B" w:rsidRDefault="00F1558B" w:rsidP="00F1558B">
      <w:pPr>
        <w:ind w:firstLine="426"/>
        <w:jc w:val="center"/>
        <w:rPr>
          <w:rFonts w:eastAsia="MS Mincho"/>
          <w:b/>
          <w:i/>
        </w:rPr>
      </w:pPr>
      <w:r w:rsidRPr="007B4B0B">
        <w:rPr>
          <w:rFonts w:eastAsia="MS Mincho"/>
          <w:b/>
          <w:i/>
        </w:rPr>
        <w:t xml:space="preserve"> (весенне-летне-осенний период)</w:t>
      </w:r>
    </w:p>
    <w:p w:rsidR="00F1558B" w:rsidRPr="007B4B0B" w:rsidRDefault="00F1558B" w:rsidP="00F1558B">
      <w:pPr>
        <w:adjustRightInd w:val="0"/>
        <w:rPr>
          <w:szCs w:val="20"/>
        </w:rPr>
      </w:pPr>
      <w:r w:rsidRPr="007B4B0B">
        <w:rPr>
          <w:szCs w:val="20"/>
        </w:rPr>
        <w:t>Название Объекта: ___________________________________________________</w:t>
      </w:r>
    </w:p>
    <w:p w:rsidR="00F1558B" w:rsidRPr="007B4B0B" w:rsidRDefault="00F1558B" w:rsidP="00F1558B">
      <w:pPr>
        <w:adjustRightInd w:val="0"/>
        <w:rPr>
          <w:szCs w:val="20"/>
        </w:rPr>
      </w:pPr>
      <w:r w:rsidRPr="007B4B0B">
        <w:rPr>
          <w:szCs w:val="20"/>
        </w:rPr>
        <w:t>Категория Объекта: ___________________________________________________</w:t>
      </w:r>
    </w:p>
    <w:p w:rsidR="00F1558B" w:rsidRPr="007B4B0B" w:rsidRDefault="00F1558B" w:rsidP="00F1558B">
      <w:pPr>
        <w:adjustRightInd w:val="0"/>
        <w:rPr>
          <w:szCs w:val="20"/>
        </w:rPr>
      </w:pPr>
      <w:r w:rsidRPr="007B4B0B">
        <w:rPr>
          <w:szCs w:val="20"/>
        </w:rPr>
        <w:t>Адрес Объекта: км__+__ - км__+__</w:t>
      </w:r>
    </w:p>
    <w:p w:rsidR="00F1558B" w:rsidRPr="007B4B0B" w:rsidRDefault="00F1558B" w:rsidP="00F1558B">
      <w:pPr>
        <w:adjustRightInd w:val="0"/>
        <w:rPr>
          <w:szCs w:val="20"/>
        </w:rPr>
      </w:pPr>
      <w:r w:rsidRPr="007B4B0B">
        <w:rPr>
          <w:szCs w:val="20"/>
        </w:rPr>
        <w:t xml:space="preserve">Характерный период: весенне-летне-осенний </w:t>
      </w:r>
      <w:proofErr w:type="gramStart"/>
      <w:r w:rsidRPr="007B4B0B">
        <w:rPr>
          <w:szCs w:val="20"/>
        </w:rPr>
        <w:t xml:space="preserve">период;   </w:t>
      </w:r>
      <w:proofErr w:type="gramEnd"/>
      <w:r w:rsidRPr="007B4B0B">
        <w:rPr>
          <w:szCs w:val="20"/>
        </w:rPr>
        <w:t xml:space="preserve">   Год 20___ Месяц</w:t>
      </w:r>
    </w:p>
    <w:p w:rsidR="00F1558B" w:rsidRPr="007B4B0B" w:rsidRDefault="00F1558B" w:rsidP="00F1558B">
      <w:pPr>
        <w:adjustRightInd w:val="0"/>
        <w:rPr>
          <w:szCs w:val="20"/>
        </w:rPr>
      </w:pPr>
      <w:r w:rsidRPr="007B4B0B">
        <w:rPr>
          <w:szCs w:val="20"/>
        </w:rPr>
        <w:t>Требуемый Уровень Содержания ОС   _______________________________</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5"/>
        <w:gridCol w:w="5052"/>
        <w:gridCol w:w="1275"/>
        <w:gridCol w:w="567"/>
        <w:gridCol w:w="558"/>
        <w:gridCol w:w="1934"/>
      </w:tblGrid>
      <w:tr w:rsidR="00F1558B" w:rsidRPr="007B4B0B" w:rsidTr="00454F27">
        <w:trPr>
          <w:tblHeader/>
          <w:jc w:val="center"/>
        </w:trPr>
        <w:tc>
          <w:tcPr>
            <w:tcW w:w="815" w:type="dxa"/>
            <w:vAlign w:val="center"/>
          </w:tcPr>
          <w:p w:rsidR="00F1558B" w:rsidRPr="007B4B0B" w:rsidRDefault="00F1558B" w:rsidP="00454F27">
            <w:pPr>
              <w:adjustRightInd w:val="0"/>
              <w:ind w:left="-44" w:right="-108"/>
              <w:jc w:val="center"/>
              <w:rPr>
                <w:rFonts w:eastAsia="Calibri"/>
                <w:b/>
                <w:sz w:val="20"/>
                <w:szCs w:val="20"/>
              </w:rPr>
            </w:pPr>
            <w:r w:rsidRPr="007B4B0B">
              <w:rPr>
                <w:rFonts w:eastAsia="Calibri"/>
                <w:b/>
                <w:sz w:val="20"/>
                <w:szCs w:val="20"/>
              </w:rPr>
              <w:t>№ п/п</w:t>
            </w:r>
          </w:p>
        </w:tc>
        <w:tc>
          <w:tcPr>
            <w:tcW w:w="5052" w:type="dxa"/>
            <w:vAlign w:val="center"/>
          </w:tcPr>
          <w:p w:rsidR="00F1558B" w:rsidRPr="007B4B0B" w:rsidRDefault="00F1558B" w:rsidP="00454F27">
            <w:pPr>
              <w:ind w:left="21"/>
              <w:jc w:val="center"/>
              <w:rPr>
                <w:rFonts w:eastAsia="Calibri"/>
                <w:b/>
                <w:sz w:val="20"/>
                <w:szCs w:val="20"/>
              </w:rPr>
            </w:pPr>
            <w:r w:rsidRPr="007B4B0B">
              <w:rPr>
                <w:rFonts w:eastAsia="Calibri"/>
                <w:b/>
                <w:sz w:val="20"/>
                <w:szCs w:val="20"/>
              </w:rPr>
              <w:t>Наименование Показателя, Дефекта Содержания ОС</w:t>
            </w:r>
          </w:p>
        </w:tc>
        <w:tc>
          <w:tcPr>
            <w:tcW w:w="1275" w:type="dxa"/>
            <w:vAlign w:val="center"/>
          </w:tcPr>
          <w:p w:rsidR="00F1558B" w:rsidRPr="007B4B0B" w:rsidRDefault="00F1558B" w:rsidP="00454F27">
            <w:pPr>
              <w:jc w:val="center"/>
              <w:rPr>
                <w:rFonts w:eastAsia="Calibri"/>
                <w:b/>
                <w:sz w:val="20"/>
                <w:szCs w:val="20"/>
              </w:rPr>
            </w:pPr>
            <w:r w:rsidRPr="007B4B0B">
              <w:rPr>
                <w:rFonts w:eastAsia="Calibri"/>
                <w:b/>
                <w:sz w:val="20"/>
                <w:szCs w:val="20"/>
              </w:rPr>
              <w:t>Категория</w:t>
            </w:r>
          </w:p>
        </w:tc>
        <w:tc>
          <w:tcPr>
            <w:tcW w:w="567" w:type="dxa"/>
            <w:vAlign w:val="center"/>
          </w:tcPr>
          <w:p w:rsidR="00F1558B" w:rsidRPr="007B4B0B" w:rsidRDefault="00F1558B" w:rsidP="00454F27">
            <w:pPr>
              <w:ind w:left="-44" w:right="-108"/>
              <w:jc w:val="center"/>
              <w:rPr>
                <w:rFonts w:eastAsia="Calibri"/>
                <w:b/>
                <w:sz w:val="20"/>
                <w:szCs w:val="20"/>
                <w:vertAlign w:val="superscript"/>
              </w:rPr>
            </w:pPr>
            <w:r w:rsidRPr="007B4B0B">
              <w:rPr>
                <w:rFonts w:eastAsia="Calibri"/>
                <w:b/>
                <w:i/>
                <w:sz w:val="20"/>
                <w:szCs w:val="20"/>
              </w:rPr>
              <w:t>КС</w:t>
            </w:r>
            <w:proofErr w:type="spellStart"/>
            <w:r w:rsidRPr="007B4B0B">
              <w:rPr>
                <w:rFonts w:eastAsia="Calibri"/>
                <w:b/>
                <w:i/>
                <w:sz w:val="20"/>
                <w:szCs w:val="20"/>
                <w:vertAlign w:val="subscript"/>
                <w:lang w:val="en-US"/>
              </w:rPr>
              <w:t>i</w:t>
            </w:r>
            <w:proofErr w:type="spellEnd"/>
            <w:r w:rsidRPr="007B4B0B">
              <w:rPr>
                <w:rFonts w:eastAsia="Calibri"/>
                <w:b/>
                <w:sz w:val="20"/>
                <w:szCs w:val="20"/>
                <w:vertAlign w:val="superscript"/>
              </w:rPr>
              <w:footnoteReference w:id="2"/>
            </w:r>
          </w:p>
        </w:tc>
        <w:tc>
          <w:tcPr>
            <w:tcW w:w="558" w:type="dxa"/>
            <w:vAlign w:val="center"/>
          </w:tcPr>
          <w:p w:rsidR="00F1558B" w:rsidRPr="007B4B0B" w:rsidRDefault="00F1558B" w:rsidP="00454F27">
            <w:pPr>
              <w:ind w:left="-108" w:right="-108"/>
              <w:jc w:val="center"/>
              <w:rPr>
                <w:rFonts w:eastAsia="Calibri"/>
                <w:b/>
                <w:sz w:val="20"/>
                <w:szCs w:val="20"/>
              </w:rPr>
            </w:pPr>
            <w:r w:rsidRPr="007B4B0B">
              <w:rPr>
                <w:rFonts w:eastAsia="Calibri"/>
                <w:b/>
                <w:sz w:val="20"/>
                <w:szCs w:val="20"/>
              </w:rPr>
              <w:t>КСД</w:t>
            </w:r>
            <w:proofErr w:type="spellStart"/>
            <w:r w:rsidRPr="007B4B0B">
              <w:rPr>
                <w:rFonts w:eastAsia="Calibri"/>
                <w:b/>
                <w:i/>
                <w:sz w:val="20"/>
                <w:szCs w:val="20"/>
                <w:vertAlign w:val="subscript"/>
                <w:lang w:val="en-US"/>
              </w:rPr>
              <w:t>i</w:t>
            </w:r>
            <w:proofErr w:type="spellEnd"/>
            <w:r w:rsidRPr="007B4B0B">
              <w:rPr>
                <w:rFonts w:eastAsia="Calibri"/>
                <w:b/>
                <w:sz w:val="20"/>
                <w:szCs w:val="20"/>
                <w:vertAlign w:val="superscript"/>
              </w:rPr>
              <w:footnoteReference w:id="3"/>
            </w:r>
          </w:p>
        </w:tc>
        <w:tc>
          <w:tcPr>
            <w:tcW w:w="1934" w:type="dxa"/>
          </w:tcPr>
          <w:p w:rsidR="00F1558B" w:rsidRPr="007B4B0B" w:rsidRDefault="00F1558B" w:rsidP="00454F27">
            <w:pPr>
              <w:ind w:left="-108" w:right="-108"/>
              <w:jc w:val="center"/>
              <w:rPr>
                <w:rFonts w:eastAsia="Calibri"/>
                <w:b/>
                <w:sz w:val="20"/>
                <w:szCs w:val="20"/>
              </w:rPr>
            </w:pPr>
            <w:r w:rsidRPr="007B4B0B">
              <w:rPr>
                <w:rFonts w:eastAsia="Calibri"/>
                <w:b/>
                <w:sz w:val="20"/>
                <w:szCs w:val="20"/>
              </w:rPr>
              <w:t>Адреса ОС</w:t>
            </w:r>
            <w:r w:rsidRPr="007B4B0B">
              <w:rPr>
                <w:rStyle w:val="affa"/>
                <w:rFonts w:eastAsia="Calibri"/>
                <w:b/>
                <w:sz w:val="20"/>
                <w:szCs w:val="20"/>
              </w:rPr>
              <w:footnoteReference w:id="4"/>
            </w:r>
            <w:r w:rsidRPr="007B4B0B">
              <w:rPr>
                <w:rFonts w:eastAsia="Calibri"/>
                <w:b/>
                <w:sz w:val="20"/>
                <w:szCs w:val="20"/>
              </w:rPr>
              <w:t xml:space="preserve"> с выявленными несоответствиями Показателей Содержания и/или наличием Дефектов Содержания</w:t>
            </w:r>
          </w:p>
        </w:tc>
      </w:tr>
      <w:tr w:rsidR="00F1558B" w:rsidRPr="007B4B0B" w:rsidTr="00454F27">
        <w:trPr>
          <w:tblHeader/>
          <w:jc w:val="center"/>
        </w:trPr>
        <w:tc>
          <w:tcPr>
            <w:tcW w:w="815" w:type="dxa"/>
            <w:vAlign w:val="center"/>
          </w:tcPr>
          <w:p w:rsidR="00F1558B" w:rsidRPr="007B4B0B" w:rsidRDefault="00F1558B" w:rsidP="00454F27">
            <w:pPr>
              <w:ind w:left="18" w:right="15"/>
              <w:jc w:val="center"/>
              <w:rPr>
                <w:rFonts w:eastAsia="Calibri"/>
                <w:b/>
                <w:bCs/>
                <w:sz w:val="20"/>
                <w:szCs w:val="20"/>
              </w:rPr>
            </w:pPr>
            <w:r w:rsidRPr="007B4B0B">
              <w:rPr>
                <w:rFonts w:eastAsia="Calibri"/>
                <w:b/>
                <w:bCs/>
                <w:sz w:val="20"/>
                <w:szCs w:val="20"/>
              </w:rPr>
              <w:t>1</w:t>
            </w:r>
          </w:p>
        </w:tc>
        <w:tc>
          <w:tcPr>
            <w:tcW w:w="5052" w:type="dxa"/>
            <w:vAlign w:val="center"/>
          </w:tcPr>
          <w:p w:rsidR="00F1558B" w:rsidRPr="007B4B0B" w:rsidRDefault="00F1558B" w:rsidP="00454F27">
            <w:pPr>
              <w:ind w:left="21"/>
              <w:rPr>
                <w:rFonts w:eastAsia="Calibri"/>
                <w:b/>
                <w:bCs/>
                <w:sz w:val="20"/>
                <w:szCs w:val="20"/>
              </w:rPr>
            </w:pPr>
            <w:r w:rsidRPr="007B4B0B">
              <w:rPr>
                <w:rFonts w:eastAsia="Calibri"/>
                <w:b/>
                <w:bCs/>
                <w:sz w:val="20"/>
                <w:szCs w:val="20"/>
              </w:rPr>
              <w:t>2</w:t>
            </w:r>
          </w:p>
        </w:tc>
        <w:tc>
          <w:tcPr>
            <w:tcW w:w="1275" w:type="dxa"/>
            <w:vAlign w:val="center"/>
          </w:tcPr>
          <w:p w:rsidR="00F1558B" w:rsidRPr="007B4B0B" w:rsidRDefault="00F1558B" w:rsidP="00454F27">
            <w:pPr>
              <w:jc w:val="center"/>
              <w:rPr>
                <w:rFonts w:eastAsia="Calibri"/>
                <w:b/>
                <w:bCs/>
                <w:sz w:val="20"/>
                <w:szCs w:val="20"/>
              </w:rPr>
            </w:pPr>
            <w:r w:rsidRPr="007B4B0B">
              <w:rPr>
                <w:rFonts w:eastAsia="Calibri"/>
                <w:b/>
                <w:bCs/>
                <w:sz w:val="20"/>
                <w:szCs w:val="20"/>
              </w:rPr>
              <w:t>3</w:t>
            </w:r>
          </w:p>
        </w:tc>
        <w:tc>
          <w:tcPr>
            <w:tcW w:w="567" w:type="dxa"/>
            <w:vAlign w:val="center"/>
          </w:tcPr>
          <w:p w:rsidR="00F1558B" w:rsidRPr="007B4B0B" w:rsidRDefault="00F1558B" w:rsidP="00454F27">
            <w:pPr>
              <w:ind w:left="-44" w:right="-108"/>
              <w:jc w:val="center"/>
              <w:rPr>
                <w:rFonts w:eastAsia="Calibri"/>
                <w:bCs/>
                <w:sz w:val="16"/>
                <w:szCs w:val="20"/>
              </w:rPr>
            </w:pPr>
            <w:r w:rsidRPr="007B4B0B">
              <w:rPr>
                <w:rFonts w:eastAsia="Calibri"/>
                <w:bCs/>
                <w:sz w:val="16"/>
                <w:szCs w:val="20"/>
              </w:rPr>
              <w:t>4</w:t>
            </w:r>
          </w:p>
        </w:tc>
        <w:tc>
          <w:tcPr>
            <w:tcW w:w="558" w:type="dxa"/>
            <w:vAlign w:val="center"/>
          </w:tcPr>
          <w:p w:rsidR="00F1558B" w:rsidRPr="007B4B0B" w:rsidRDefault="00F1558B" w:rsidP="00454F27">
            <w:pPr>
              <w:ind w:left="-108" w:right="-108"/>
              <w:jc w:val="center"/>
              <w:rPr>
                <w:rFonts w:eastAsia="Calibri"/>
                <w:bCs/>
                <w:sz w:val="16"/>
                <w:szCs w:val="20"/>
              </w:rPr>
            </w:pPr>
            <w:r w:rsidRPr="007B4B0B">
              <w:rPr>
                <w:rFonts w:eastAsia="Calibri"/>
                <w:bCs/>
                <w:sz w:val="16"/>
                <w:szCs w:val="20"/>
              </w:rPr>
              <w:t>5</w:t>
            </w:r>
          </w:p>
        </w:tc>
        <w:tc>
          <w:tcPr>
            <w:tcW w:w="1934" w:type="dxa"/>
          </w:tcPr>
          <w:p w:rsidR="00F1558B" w:rsidRPr="007B4B0B" w:rsidRDefault="00F1558B" w:rsidP="00454F27">
            <w:pPr>
              <w:ind w:left="-108" w:right="-108"/>
              <w:jc w:val="center"/>
              <w:rPr>
                <w:rFonts w:eastAsia="Calibri"/>
                <w:bCs/>
                <w:sz w:val="16"/>
                <w:szCs w:val="20"/>
              </w:rPr>
            </w:pPr>
            <w:r w:rsidRPr="007B4B0B">
              <w:rPr>
                <w:rFonts w:eastAsia="Calibri"/>
                <w:bCs/>
                <w:sz w:val="16"/>
                <w:szCs w:val="20"/>
              </w:rPr>
              <w:t>6</w:t>
            </w:r>
          </w:p>
        </w:tc>
      </w:tr>
      <w:tr w:rsidR="00F1558B" w:rsidRPr="007B4B0B" w:rsidTr="00454F27">
        <w:trPr>
          <w:jc w:val="center"/>
        </w:trPr>
        <w:tc>
          <w:tcPr>
            <w:tcW w:w="815" w:type="dxa"/>
            <w:vAlign w:val="center"/>
          </w:tcPr>
          <w:p w:rsidR="00F1558B" w:rsidRPr="007B4B0B" w:rsidRDefault="00F1558B" w:rsidP="00454F27">
            <w:pPr>
              <w:adjustRightInd w:val="0"/>
              <w:ind w:left="710"/>
              <w:jc w:val="center"/>
              <w:rPr>
                <w:rFonts w:eastAsia="Calibri"/>
                <w:b/>
                <w:sz w:val="20"/>
                <w:szCs w:val="20"/>
              </w:rPr>
            </w:pPr>
          </w:p>
        </w:tc>
        <w:tc>
          <w:tcPr>
            <w:tcW w:w="5052" w:type="dxa"/>
            <w:shd w:val="clear" w:color="auto" w:fill="auto"/>
            <w:vAlign w:val="center"/>
          </w:tcPr>
          <w:p w:rsidR="00F1558B" w:rsidRPr="007B4B0B" w:rsidRDefault="00F1558B" w:rsidP="00454F27">
            <w:pPr>
              <w:adjustRightInd w:val="0"/>
              <w:ind w:left="21"/>
              <w:rPr>
                <w:rFonts w:eastAsia="Calibri"/>
                <w:sz w:val="20"/>
                <w:szCs w:val="20"/>
              </w:rPr>
            </w:pPr>
          </w:p>
        </w:tc>
        <w:tc>
          <w:tcPr>
            <w:tcW w:w="1275" w:type="dxa"/>
            <w:vAlign w:val="center"/>
          </w:tcPr>
          <w:p w:rsidR="00F1558B" w:rsidRPr="007B4B0B" w:rsidRDefault="00F1558B" w:rsidP="00454F27">
            <w:pPr>
              <w:jc w:val="center"/>
              <w:rPr>
                <w:rFonts w:eastAsia="Calibri"/>
                <w:sz w:val="20"/>
                <w:szCs w:val="20"/>
              </w:rPr>
            </w:pPr>
          </w:p>
        </w:tc>
        <w:tc>
          <w:tcPr>
            <w:tcW w:w="567" w:type="dxa"/>
            <w:vAlign w:val="center"/>
          </w:tcPr>
          <w:p w:rsidR="00F1558B" w:rsidRPr="007B4B0B" w:rsidRDefault="00F1558B" w:rsidP="00454F27">
            <w:pPr>
              <w:adjustRightInd w:val="0"/>
              <w:ind w:left="-44" w:right="-108"/>
              <w:jc w:val="center"/>
              <w:rPr>
                <w:rFonts w:eastAsia="Calibri"/>
                <w:sz w:val="20"/>
                <w:szCs w:val="20"/>
              </w:rPr>
            </w:pPr>
          </w:p>
        </w:tc>
        <w:tc>
          <w:tcPr>
            <w:tcW w:w="558" w:type="dxa"/>
            <w:vAlign w:val="center"/>
          </w:tcPr>
          <w:p w:rsidR="00F1558B" w:rsidRPr="007B4B0B" w:rsidRDefault="00F1558B" w:rsidP="00454F27">
            <w:pPr>
              <w:ind w:left="-108" w:right="-108"/>
              <w:jc w:val="center"/>
              <w:rPr>
                <w:rFonts w:eastAsia="Calibri"/>
                <w:sz w:val="20"/>
                <w:szCs w:val="20"/>
              </w:rPr>
            </w:pPr>
          </w:p>
        </w:tc>
        <w:tc>
          <w:tcPr>
            <w:tcW w:w="1934" w:type="dxa"/>
          </w:tcPr>
          <w:p w:rsidR="00F1558B" w:rsidRPr="007B4B0B" w:rsidRDefault="00F1558B" w:rsidP="00454F27">
            <w:pPr>
              <w:ind w:left="-108" w:right="-108"/>
              <w:jc w:val="center"/>
              <w:rPr>
                <w:rFonts w:eastAsia="Calibri"/>
                <w:sz w:val="20"/>
                <w:szCs w:val="20"/>
              </w:rPr>
            </w:pPr>
          </w:p>
        </w:tc>
      </w:tr>
    </w:tbl>
    <w:p w:rsidR="00F1558B" w:rsidRPr="007B4B0B" w:rsidRDefault="00F1558B" w:rsidP="00F1558B">
      <w:pPr>
        <w:ind w:firstLine="426"/>
        <w:rPr>
          <w:rFonts w:eastAsia="MS Mincho"/>
          <w:bCs/>
          <w:sz w:val="20"/>
        </w:rPr>
      </w:pPr>
    </w:p>
    <w:p w:rsidR="00F1558B" w:rsidRPr="007B4B0B" w:rsidRDefault="00F1558B" w:rsidP="00F1558B">
      <w:pPr>
        <w:ind w:firstLine="426"/>
        <w:jc w:val="right"/>
        <w:rPr>
          <w:rFonts w:eastAsia="MS Mincho"/>
          <w:b/>
          <w:i/>
        </w:rPr>
      </w:pPr>
      <w:r w:rsidRPr="007B4B0B">
        <w:rPr>
          <w:rFonts w:eastAsia="MS Mincho"/>
          <w:b/>
          <w:i/>
        </w:rPr>
        <w:t>Ф.2</w:t>
      </w:r>
    </w:p>
    <w:p w:rsidR="00F1558B" w:rsidRPr="007B4B0B" w:rsidRDefault="00F1558B" w:rsidP="00F1558B">
      <w:pPr>
        <w:ind w:firstLine="426"/>
        <w:jc w:val="center"/>
        <w:rPr>
          <w:rFonts w:eastAsia="MS Mincho"/>
          <w:b/>
          <w:i/>
        </w:rPr>
      </w:pPr>
      <w:r w:rsidRPr="007B4B0B">
        <w:rPr>
          <w:rFonts w:eastAsia="MS Mincho"/>
          <w:b/>
          <w:i/>
        </w:rPr>
        <w:t>Промежуточная Ведомость</w:t>
      </w:r>
      <w:r w:rsidRPr="007B4B0B">
        <w:rPr>
          <w:i/>
          <w:noProof/>
        </w:rPr>
        <w:t xml:space="preserve"> Оценки Уровня содержания ОС</w:t>
      </w:r>
      <w:r w:rsidRPr="007B4B0B">
        <w:rPr>
          <w:rFonts w:eastAsia="MS Mincho"/>
          <w:b/>
          <w:i/>
        </w:rPr>
        <w:t xml:space="preserve"> </w:t>
      </w:r>
      <w:r w:rsidRPr="007B4B0B">
        <w:rPr>
          <w:b/>
          <w:szCs w:val="28"/>
        </w:rPr>
        <w:t>№</w:t>
      </w:r>
      <w:r w:rsidRPr="007B4B0B">
        <w:rPr>
          <w:rStyle w:val="affa"/>
          <w:rFonts w:eastAsiaTheme="majorEastAsia"/>
          <w:b/>
          <w:szCs w:val="28"/>
        </w:rPr>
        <w:footnoteReference w:id="5"/>
      </w:r>
      <w:r w:rsidRPr="007B4B0B">
        <w:rPr>
          <w:b/>
          <w:szCs w:val="28"/>
        </w:rPr>
        <w:t xml:space="preserve"> ___/___/___/___</w:t>
      </w:r>
    </w:p>
    <w:p w:rsidR="00F1558B" w:rsidRPr="007B4B0B" w:rsidRDefault="00F1558B" w:rsidP="00F1558B">
      <w:pPr>
        <w:ind w:firstLine="426"/>
        <w:jc w:val="center"/>
        <w:rPr>
          <w:rFonts w:eastAsia="MS Mincho"/>
          <w:b/>
          <w:i/>
        </w:rPr>
      </w:pPr>
      <w:r w:rsidRPr="007B4B0B">
        <w:rPr>
          <w:rFonts w:eastAsia="MS Mincho"/>
          <w:b/>
          <w:i/>
        </w:rPr>
        <w:t>(зимний период)</w:t>
      </w:r>
    </w:p>
    <w:p w:rsidR="00F1558B" w:rsidRPr="007B4B0B" w:rsidRDefault="00F1558B" w:rsidP="00F1558B">
      <w:pPr>
        <w:adjustRightInd w:val="0"/>
        <w:rPr>
          <w:szCs w:val="20"/>
        </w:rPr>
      </w:pPr>
      <w:r w:rsidRPr="007B4B0B">
        <w:rPr>
          <w:szCs w:val="20"/>
        </w:rPr>
        <w:t>Название Объекта: ___________________________________________________</w:t>
      </w:r>
    </w:p>
    <w:p w:rsidR="00F1558B" w:rsidRPr="007B4B0B" w:rsidRDefault="00F1558B" w:rsidP="00F1558B">
      <w:pPr>
        <w:adjustRightInd w:val="0"/>
        <w:rPr>
          <w:szCs w:val="20"/>
        </w:rPr>
      </w:pPr>
      <w:r w:rsidRPr="007B4B0B">
        <w:rPr>
          <w:szCs w:val="20"/>
        </w:rPr>
        <w:t>Категория Объекта: ___________________________________________________</w:t>
      </w:r>
    </w:p>
    <w:p w:rsidR="00F1558B" w:rsidRPr="007B4B0B" w:rsidRDefault="00F1558B" w:rsidP="00F1558B">
      <w:pPr>
        <w:adjustRightInd w:val="0"/>
        <w:rPr>
          <w:szCs w:val="20"/>
        </w:rPr>
      </w:pPr>
      <w:r w:rsidRPr="007B4B0B">
        <w:rPr>
          <w:szCs w:val="20"/>
        </w:rPr>
        <w:t>Адрес Объекта: км__+__ - км__+__</w:t>
      </w:r>
    </w:p>
    <w:p w:rsidR="00F1558B" w:rsidRPr="007B4B0B" w:rsidRDefault="00F1558B" w:rsidP="00F1558B">
      <w:pPr>
        <w:adjustRightInd w:val="0"/>
        <w:rPr>
          <w:szCs w:val="20"/>
        </w:rPr>
      </w:pPr>
      <w:r w:rsidRPr="007B4B0B">
        <w:rPr>
          <w:szCs w:val="20"/>
        </w:rPr>
        <w:t xml:space="preserve">Характерный период: зимний </w:t>
      </w:r>
      <w:proofErr w:type="gramStart"/>
      <w:r w:rsidRPr="007B4B0B">
        <w:rPr>
          <w:szCs w:val="20"/>
        </w:rPr>
        <w:t xml:space="preserve">период;   </w:t>
      </w:r>
      <w:proofErr w:type="gramEnd"/>
      <w:r w:rsidRPr="007B4B0B">
        <w:rPr>
          <w:szCs w:val="20"/>
        </w:rPr>
        <w:t xml:space="preserve">   Год 20__ Месяц</w:t>
      </w:r>
    </w:p>
    <w:p w:rsidR="00F1558B" w:rsidRPr="007B4B0B" w:rsidRDefault="00F1558B" w:rsidP="00F1558B">
      <w:pPr>
        <w:adjustRightInd w:val="0"/>
        <w:rPr>
          <w:szCs w:val="20"/>
        </w:rPr>
      </w:pPr>
      <w:r w:rsidRPr="007B4B0B">
        <w:rPr>
          <w:szCs w:val="20"/>
        </w:rPr>
        <w:t xml:space="preserve">Требуемый Уровень Содержания </w:t>
      </w:r>
      <w:proofErr w:type="gramStart"/>
      <w:r w:rsidRPr="007B4B0B">
        <w:rPr>
          <w:szCs w:val="20"/>
        </w:rPr>
        <w:t>ОС  _</w:t>
      </w:r>
      <w:proofErr w:type="gramEnd"/>
      <w:r w:rsidRPr="007B4B0B">
        <w:rPr>
          <w:szCs w:val="20"/>
        </w:rPr>
        <w:t>______________________________</w:t>
      </w:r>
    </w:p>
    <w:p w:rsidR="00F1558B" w:rsidRPr="007B4B0B" w:rsidRDefault="00F1558B" w:rsidP="00F1558B">
      <w:pPr>
        <w:ind w:firstLine="426"/>
        <w:jc w:val="center"/>
        <w:rPr>
          <w:rFonts w:eastAsia="MS Mincho"/>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34"/>
        <w:gridCol w:w="4536"/>
        <w:gridCol w:w="1174"/>
        <w:gridCol w:w="560"/>
        <w:gridCol w:w="717"/>
        <w:gridCol w:w="1764"/>
      </w:tblGrid>
      <w:tr w:rsidR="00F1558B" w:rsidRPr="007B4B0B" w:rsidTr="006E4C2D">
        <w:trPr>
          <w:tblHeader/>
        </w:trPr>
        <w:tc>
          <w:tcPr>
            <w:tcW w:w="499" w:type="pct"/>
            <w:vAlign w:val="center"/>
          </w:tcPr>
          <w:p w:rsidR="00F1558B" w:rsidRPr="007B4B0B" w:rsidRDefault="00F1558B" w:rsidP="00454F27">
            <w:pPr>
              <w:jc w:val="center"/>
              <w:rPr>
                <w:rFonts w:eastAsia="Calibri"/>
                <w:b/>
                <w:sz w:val="20"/>
                <w:szCs w:val="20"/>
              </w:rPr>
            </w:pPr>
            <w:r w:rsidRPr="007B4B0B">
              <w:rPr>
                <w:rFonts w:eastAsia="Calibri"/>
                <w:b/>
                <w:sz w:val="20"/>
                <w:szCs w:val="20"/>
              </w:rPr>
              <w:lastRenderedPageBreak/>
              <w:t>№ п/п</w:t>
            </w:r>
          </w:p>
        </w:tc>
        <w:tc>
          <w:tcPr>
            <w:tcW w:w="2359" w:type="pct"/>
            <w:vAlign w:val="center"/>
          </w:tcPr>
          <w:p w:rsidR="00F1558B" w:rsidRPr="007B4B0B" w:rsidRDefault="00F1558B" w:rsidP="00454F27">
            <w:pPr>
              <w:jc w:val="center"/>
              <w:rPr>
                <w:rFonts w:eastAsia="Calibri"/>
                <w:b/>
                <w:sz w:val="20"/>
                <w:szCs w:val="20"/>
              </w:rPr>
            </w:pPr>
            <w:r w:rsidRPr="007B4B0B">
              <w:rPr>
                <w:rFonts w:eastAsia="Calibri"/>
                <w:b/>
                <w:sz w:val="20"/>
                <w:szCs w:val="20"/>
              </w:rPr>
              <w:t>Наименование Показателя, Дефекта содержания ОС</w:t>
            </w:r>
          </w:p>
        </w:tc>
        <w:tc>
          <w:tcPr>
            <w:tcW w:w="621" w:type="pct"/>
            <w:vAlign w:val="center"/>
          </w:tcPr>
          <w:p w:rsidR="00F1558B" w:rsidRPr="007B4B0B" w:rsidRDefault="00F1558B" w:rsidP="00454F27">
            <w:pPr>
              <w:jc w:val="center"/>
              <w:rPr>
                <w:rFonts w:eastAsia="Calibri"/>
                <w:b/>
                <w:sz w:val="20"/>
                <w:szCs w:val="20"/>
              </w:rPr>
            </w:pPr>
            <w:r w:rsidRPr="007B4B0B">
              <w:rPr>
                <w:rFonts w:eastAsia="Calibri"/>
                <w:b/>
                <w:sz w:val="20"/>
                <w:szCs w:val="20"/>
              </w:rPr>
              <w:t>Категория</w:t>
            </w:r>
          </w:p>
        </w:tc>
        <w:tc>
          <w:tcPr>
            <w:tcW w:w="308" w:type="pct"/>
            <w:vAlign w:val="center"/>
          </w:tcPr>
          <w:p w:rsidR="00F1558B" w:rsidRPr="007B4B0B" w:rsidRDefault="00F1558B" w:rsidP="00454F27">
            <w:pPr>
              <w:ind w:left="-44" w:right="-108"/>
              <w:jc w:val="center"/>
              <w:rPr>
                <w:rFonts w:eastAsia="Calibri"/>
                <w:b/>
                <w:sz w:val="20"/>
                <w:szCs w:val="20"/>
                <w:vertAlign w:val="superscript"/>
              </w:rPr>
            </w:pPr>
            <w:r w:rsidRPr="007B4B0B">
              <w:rPr>
                <w:rFonts w:eastAsia="Calibri"/>
                <w:b/>
                <w:i/>
                <w:sz w:val="20"/>
                <w:szCs w:val="20"/>
              </w:rPr>
              <w:t>КС</w:t>
            </w:r>
            <w:proofErr w:type="spellStart"/>
            <w:r w:rsidRPr="007B4B0B">
              <w:rPr>
                <w:rFonts w:eastAsia="Calibri"/>
                <w:b/>
                <w:i/>
                <w:sz w:val="20"/>
                <w:szCs w:val="20"/>
                <w:vertAlign w:val="subscript"/>
                <w:lang w:val="en-US"/>
              </w:rPr>
              <w:t>i</w:t>
            </w:r>
            <w:proofErr w:type="spellEnd"/>
            <w:r w:rsidRPr="007B4B0B">
              <w:rPr>
                <w:rFonts w:eastAsia="Calibri"/>
                <w:b/>
                <w:sz w:val="20"/>
                <w:szCs w:val="20"/>
                <w:vertAlign w:val="superscript"/>
              </w:rPr>
              <w:footnoteReference w:id="6"/>
            </w:r>
          </w:p>
        </w:tc>
        <w:tc>
          <w:tcPr>
            <w:tcW w:w="387" w:type="pct"/>
            <w:vAlign w:val="center"/>
          </w:tcPr>
          <w:p w:rsidR="00F1558B" w:rsidRPr="007B4B0B" w:rsidRDefault="00F1558B" w:rsidP="00454F27">
            <w:pPr>
              <w:ind w:left="-108" w:right="-108"/>
              <w:jc w:val="center"/>
              <w:rPr>
                <w:rFonts w:eastAsia="Calibri"/>
                <w:b/>
                <w:sz w:val="20"/>
                <w:szCs w:val="20"/>
              </w:rPr>
            </w:pPr>
            <w:r w:rsidRPr="007B4B0B">
              <w:rPr>
                <w:rFonts w:eastAsia="Calibri"/>
                <w:b/>
                <w:sz w:val="20"/>
                <w:szCs w:val="20"/>
              </w:rPr>
              <w:t>КСД</w:t>
            </w:r>
            <w:proofErr w:type="spellStart"/>
            <w:r w:rsidRPr="007B4B0B">
              <w:rPr>
                <w:rFonts w:eastAsia="Calibri"/>
                <w:b/>
                <w:i/>
                <w:sz w:val="20"/>
                <w:szCs w:val="20"/>
                <w:vertAlign w:val="subscript"/>
                <w:lang w:val="en-US"/>
              </w:rPr>
              <w:t>i</w:t>
            </w:r>
            <w:proofErr w:type="spellEnd"/>
            <w:r w:rsidRPr="007B4B0B">
              <w:rPr>
                <w:rFonts w:eastAsia="Calibri"/>
                <w:b/>
                <w:sz w:val="20"/>
                <w:szCs w:val="20"/>
                <w:vertAlign w:val="superscript"/>
              </w:rPr>
              <w:footnoteReference w:id="7"/>
            </w:r>
          </w:p>
        </w:tc>
        <w:tc>
          <w:tcPr>
            <w:tcW w:w="827" w:type="pct"/>
          </w:tcPr>
          <w:p w:rsidR="00F1558B" w:rsidRPr="007B4B0B" w:rsidRDefault="00F1558B" w:rsidP="00454F27">
            <w:pPr>
              <w:ind w:left="-108" w:right="-108"/>
              <w:jc w:val="center"/>
              <w:rPr>
                <w:rFonts w:eastAsia="Calibri"/>
                <w:b/>
                <w:sz w:val="20"/>
                <w:szCs w:val="20"/>
              </w:rPr>
            </w:pPr>
            <w:r w:rsidRPr="007B4B0B">
              <w:rPr>
                <w:rFonts w:eastAsia="Calibri"/>
                <w:b/>
                <w:sz w:val="20"/>
                <w:szCs w:val="20"/>
              </w:rPr>
              <w:t>Адреса ОС</w:t>
            </w:r>
            <w:r w:rsidRPr="007B4B0B">
              <w:rPr>
                <w:rFonts w:eastAsia="Calibri"/>
                <w:b/>
                <w:sz w:val="20"/>
                <w:szCs w:val="20"/>
                <w:vertAlign w:val="superscript"/>
              </w:rPr>
              <w:footnoteReference w:id="8"/>
            </w:r>
            <w:r w:rsidRPr="007B4B0B">
              <w:rPr>
                <w:rFonts w:eastAsia="Calibri"/>
                <w:b/>
                <w:sz w:val="20"/>
                <w:szCs w:val="20"/>
              </w:rPr>
              <w:t xml:space="preserve"> с выявленными несоответствиями Показателей Содержания ОС и/или наличием Дефектов Содержания</w:t>
            </w:r>
          </w:p>
        </w:tc>
      </w:tr>
      <w:tr w:rsidR="00F1558B" w:rsidRPr="007B4B0B" w:rsidTr="006E4C2D">
        <w:trPr>
          <w:tblHeader/>
        </w:trPr>
        <w:tc>
          <w:tcPr>
            <w:tcW w:w="499"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1</w:t>
            </w:r>
          </w:p>
        </w:tc>
        <w:tc>
          <w:tcPr>
            <w:tcW w:w="2359"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2</w:t>
            </w:r>
          </w:p>
        </w:tc>
        <w:tc>
          <w:tcPr>
            <w:tcW w:w="621"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3</w:t>
            </w:r>
          </w:p>
        </w:tc>
        <w:tc>
          <w:tcPr>
            <w:tcW w:w="308" w:type="pct"/>
            <w:vAlign w:val="center"/>
          </w:tcPr>
          <w:p w:rsidR="00F1558B" w:rsidRPr="007B4B0B" w:rsidRDefault="00F1558B" w:rsidP="00454F27">
            <w:pPr>
              <w:ind w:left="-44" w:right="-108"/>
              <w:jc w:val="center"/>
              <w:rPr>
                <w:rFonts w:eastAsia="Calibri"/>
                <w:bCs/>
                <w:sz w:val="18"/>
                <w:szCs w:val="18"/>
              </w:rPr>
            </w:pPr>
            <w:r w:rsidRPr="007B4B0B">
              <w:rPr>
                <w:rFonts w:eastAsia="Calibri"/>
                <w:bCs/>
                <w:sz w:val="18"/>
                <w:szCs w:val="18"/>
              </w:rPr>
              <w:t>4</w:t>
            </w:r>
          </w:p>
        </w:tc>
        <w:tc>
          <w:tcPr>
            <w:tcW w:w="387" w:type="pct"/>
            <w:vAlign w:val="center"/>
          </w:tcPr>
          <w:p w:rsidR="00F1558B" w:rsidRPr="007B4B0B" w:rsidRDefault="00F1558B" w:rsidP="00454F27">
            <w:pPr>
              <w:ind w:left="-108" w:right="-108"/>
              <w:jc w:val="center"/>
              <w:rPr>
                <w:rFonts w:eastAsia="Calibri"/>
                <w:bCs/>
                <w:sz w:val="18"/>
                <w:szCs w:val="18"/>
              </w:rPr>
            </w:pPr>
            <w:r w:rsidRPr="007B4B0B">
              <w:rPr>
                <w:rFonts w:eastAsia="Calibri"/>
                <w:bCs/>
                <w:sz w:val="18"/>
                <w:szCs w:val="18"/>
              </w:rPr>
              <w:t>5</w:t>
            </w:r>
          </w:p>
        </w:tc>
        <w:tc>
          <w:tcPr>
            <w:tcW w:w="827" w:type="pct"/>
          </w:tcPr>
          <w:p w:rsidR="00F1558B" w:rsidRPr="007B4B0B" w:rsidRDefault="00F1558B" w:rsidP="00454F27">
            <w:pPr>
              <w:ind w:left="-108" w:right="-108"/>
              <w:jc w:val="center"/>
              <w:rPr>
                <w:rFonts w:eastAsia="Calibri"/>
                <w:bCs/>
                <w:sz w:val="18"/>
                <w:szCs w:val="18"/>
              </w:rPr>
            </w:pPr>
            <w:r w:rsidRPr="007B4B0B">
              <w:rPr>
                <w:rFonts w:eastAsia="Calibri"/>
                <w:bCs/>
                <w:sz w:val="18"/>
                <w:szCs w:val="18"/>
              </w:rPr>
              <w:t>6</w:t>
            </w:r>
          </w:p>
        </w:tc>
      </w:tr>
      <w:tr w:rsidR="00F1558B" w:rsidRPr="007B4B0B" w:rsidTr="006E4C2D">
        <w:tc>
          <w:tcPr>
            <w:tcW w:w="499" w:type="pct"/>
          </w:tcPr>
          <w:p w:rsidR="00F1558B" w:rsidRPr="007B4B0B" w:rsidRDefault="00F1558B" w:rsidP="00454F27">
            <w:pPr>
              <w:adjustRightInd w:val="0"/>
              <w:ind w:left="1080"/>
              <w:jc w:val="center"/>
              <w:rPr>
                <w:rFonts w:eastAsia="Calibri"/>
                <w:bCs/>
                <w:sz w:val="20"/>
                <w:szCs w:val="20"/>
              </w:rPr>
            </w:pPr>
          </w:p>
        </w:tc>
        <w:tc>
          <w:tcPr>
            <w:tcW w:w="2359" w:type="pct"/>
            <w:shd w:val="clear" w:color="auto" w:fill="auto"/>
          </w:tcPr>
          <w:p w:rsidR="00F1558B" w:rsidRPr="007B4B0B" w:rsidRDefault="00F1558B" w:rsidP="00454F27">
            <w:pPr>
              <w:adjustRightInd w:val="0"/>
              <w:jc w:val="both"/>
              <w:rPr>
                <w:rFonts w:eastAsia="Calibri"/>
                <w:bCs/>
                <w:kern w:val="20"/>
                <w:sz w:val="20"/>
                <w:szCs w:val="20"/>
              </w:rPr>
            </w:pPr>
          </w:p>
        </w:tc>
        <w:tc>
          <w:tcPr>
            <w:tcW w:w="621" w:type="pct"/>
          </w:tcPr>
          <w:p w:rsidR="00F1558B" w:rsidRPr="007B4B0B" w:rsidRDefault="00F1558B" w:rsidP="00454F27">
            <w:pPr>
              <w:jc w:val="center"/>
              <w:rPr>
                <w:rFonts w:eastAsia="Calibri"/>
                <w:sz w:val="20"/>
                <w:szCs w:val="20"/>
                <w:lang w:val="en-US"/>
              </w:rPr>
            </w:pPr>
          </w:p>
        </w:tc>
        <w:tc>
          <w:tcPr>
            <w:tcW w:w="308" w:type="pct"/>
            <w:vAlign w:val="center"/>
          </w:tcPr>
          <w:p w:rsidR="00F1558B" w:rsidRPr="007B4B0B" w:rsidRDefault="00F1558B" w:rsidP="00454F27">
            <w:pPr>
              <w:adjustRightInd w:val="0"/>
              <w:jc w:val="center"/>
              <w:rPr>
                <w:rFonts w:eastAsia="Calibri"/>
                <w:sz w:val="20"/>
                <w:szCs w:val="20"/>
              </w:rPr>
            </w:pPr>
          </w:p>
        </w:tc>
        <w:tc>
          <w:tcPr>
            <w:tcW w:w="387" w:type="pct"/>
            <w:vAlign w:val="center"/>
          </w:tcPr>
          <w:p w:rsidR="00F1558B" w:rsidRPr="007B4B0B" w:rsidRDefault="00F1558B" w:rsidP="00454F27">
            <w:pPr>
              <w:jc w:val="center"/>
              <w:rPr>
                <w:rFonts w:eastAsia="Calibri"/>
                <w:sz w:val="20"/>
                <w:szCs w:val="20"/>
              </w:rPr>
            </w:pPr>
          </w:p>
        </w:tc>
        <w:tc>
          <w:tcPr>
            <w:tcW w:w="827" w:type="pct"/>
          </w:tcPr>
          <w:p w:rsidR="00F1558B" w:rsidRPr="007B4B0B" w:rsidRDefault="00F1558B" w:rsidP="00454F27">
            <w:pPr>
              <w:jc w:val="center"/>
              <w:rPr>
                <w:rFonts w:eastAsia="Calibri"/>
                <w:sz w:val="20"/>
                <w:szCs w:val="20"/>
              </w:rPr>
            </w:pPr>
          </w:p>
        </w:tc>
      </w:tr>
    </w:tbl>
    <w:p w:rsidR="00217D16" w:rsidRPr="002878FA" w:rsidRDefault="00217D16" w:rsidP="00424670">
      <w:bookmarkStart w:id="0" w:name="_GoBack"/>
      <w:bookmarkEnd w:id="0"/>
    </w:p>
    <w:sectPr w:rsidR="00217D16" w:rsidRPr="002878FA" w:rsidSect="00424670">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FDB" w:rsidRDefault="00BE1FDB" w:rsidP="00520FE2">
      <w:r>
        <w:separator/>
      </w:r>
    </w:p>
  </w:endnote>
  <w:endnote w:type="continuationSeparator" w:id="0">
    <w:p w:rsidR="00BE1FDB" w:rsidRDefault="00BE1FD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panose1 w:val="020B0604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FDB" w:rsidRDefault="00BE1FDB" w:rsidP="00520FE2">
      <w:r>
        <w:separator/>
      </w:r>
    </w:p>
  </w:footnote>
  <w:footnote w:type="continuationSeparator" w:id="0">
    <w:p w:rsidR="00BE1FDB" w:rsidRDefault="00BE1FDB"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Промежуточной ведомости присваивается номер в формате «№ номер по порядку /Номер договора/аббревиатура подразделения/ИДС», где аббревиатура ГК – Центральный аппарат Государственной компании «</w:t>
      </w:r>
      <w:proofErr w:type="spellStart"/>
      <w:r w:rsidRPr="001305A8">
        <w:t>Автодор</w:t>
      </w:r>
      <w:proofErr w:type="spellEnd"/>
      <w:r w:rsidRPr="001305A8">
        <w:t xml:space="preserve">», ГФ – </w:t>
      </w:r>
      <w:proofErr w:type="spellStart"/>
      <w:r w:rsidRPr="001305A8">
        <w:t>Голицынский</w:t>
      </w:r>
      <w:proofErr w:type="spellEnd"/>
      <w:r w:rsidRPr="001305A8">
        <w:t xml:space="preserve"> филиал.</w:t>
      </w:r>
    </w:p>
  </w:footnote>
  <w:footnote w:id="2">
    <w:p w:rsidR="001E205D" w:rsidRPr="001305A8" w:rsidRDefault="001E205D" w:rsidP="00F1558B">
      <w:pPr>
        <w:pStyle w:val="aff8"/>
      </w:pPr>
      <w:r w:rsidRPr="001305A8">
        <w:rPr>
          <w:rStyle w:val="affa"/>
          <w:rFonts w:eastAsiaTheme="majorEastAsia"/>
        </w:rPr>
        <w:footnoteRef/>
      </w:r>
      <w:r w:rsidRPr="001305A8">
        <w:t xml:space="preserve"> Коэффициенты снятия за несоответствие значения Показателей содержания и/или наличия Дефектов содержания для соответствующего периода, установленных в границах одного искусственного дорожного сооружения (его длины в метрах). </w:t>
      </w:r>
    </w:p>
  </w:footnote>
  <w:footnote w:id="3">
    <w:p w:rsidR="001E205D" w:rsidRPr="001305A8" w:rsidRDefault="001E205D" w:rsidP="00F1558B">
      <w:pPr>
        <w:pStyle w:val="aff8"/>
      </w:pPr>
      <w:r w:rsidRPr="001305A8">
        <w:rPr>
          <w:rStyle w:val="affa"/>
          <w:rFonts w:eastAsiaTheme="majorEastAsia"/>
        </w:rPr>
        <w:footnoteRef/>
      </w:r>
      <w:r w:rsidRPr="001305A8">
        <w:t xml:space="preserve"> Коэффициент снятия за не устранение в директивный срок выявленного несоответствия Показателей содержания и/или наличия Дефектов содержания для соответствующего периода.</w:t>
      </w:r>
    </w:p>
  </w:footnote>
  <w:footnote w:id="4">
    <w:p w:rsidR="001E205D" w:rsidRDefault="001E205D" w:rsidP="00F1558B">
      <w:pPr>
        <w:pStyle w:val="aff8"/>
      </w:pPr>
      <w:r w:rsidRPr="001305A8">
        <w:rPr>
          <w:rStyle w:val="affa"/>
          <w:rFonts w:eastAsiaTheme="majorEastAsia"/>
        </w:rPr>
        <w:footnoteRef/>
      </w:r>
      <w:r w:rsidRPr="001305A8">
        <w:t xml:space="preserve"> - Адрес ОС,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ЛОС и/или Приемки услуг, в Промежуточной ведомости указывается со звездочкой «*». Данный адрес ОС переносится в Промежуточную Ведомость, оформляемую по результатам Приемки услуг </w:t>
      </w:r>
      <w:r w:rsidR="007411F0" w:rsidRPr="007411F0">
        <w:t>согласно пункту 2.2.15 Типового приложения № 141, утвержденного приказом Государственной компании «Российские автомобильные дороги</w:t>
      </w:r>
      <w:r w:rsidR="007411F0">
        <w:t>»</w:t>
      </w:r>
      <w:r w:rsidR="007411F0">
        <w:rPr>
          <w:vertAlign w:val="superscript"/>
        </w:rPr>
        <w:t>4</w:t>
      </w:r>
      <w:r w:rsidR="007411F0">
        <w:rPr>
          <w:vertAlign w:val="superscript"/>
          <w:lang w:val="en-US"/>
        </w:rPr>
        <w:t>.1</w:t>
      </w:r>
      <w:r w:rsidRPr="001305A8">
        <w:t>.</w:t>
      </w:r>
    </w:p>
    <w:p w:rsidR="007411F0" w:rsidRPr="007411F0" w:rsidRDefault="007411F0" w:rsidP="00F1558B">
      <w:pPr>
        <w:pStyle w:val="aff8"/>
        <w:rPr>
          <w:lang w:bidi="ru-RU"/>
        </w:rPr>
      </w:pPr>
      <w:r>
        <w:t xml:space="preserve">    </w:t>
      </w:r>
      <w:r>
        <w:rPr>
          <w:vertAlign w:val="superscript"/>
        </w:rPr>
        <w:t xml:space="preserve">4.1 </w:t>
      </w:r>
      <w:r w:rsidRPr="007411F0">
        <w:rPr>
          <w:lang w:bidi="ru-RU"/>
        </w:rPr>
        <w:t>Приказом № 102 от 01.04.2026 внесены изменения, а именно слова «согласно пункту 2.2.15 настоящего Порядка» заменены словами «согласно пункту 2.2.15 Типового приложения № 141, утвержденного приказом Государственной компании «Российские автомобильные дороги</w:t>
      </w:r>
      <w:proofErr w:type="gramStart"/>
      <w:r>
        <w:rPr>
          <w:lang w:bidi="ru-RU"/>
        </w:rPr>
        <w:t>»</w:t>
      </w:r>
      <w:proofErr w:type="gramEnd"/>
      <w:r w:rsidRPr="007411F0">
        <w:rPr>
          <w:lang w:bidi="ru-RU"/>
        </w:rPr>
        <w:t>».</w:t>
      </w:r>
    </w:p>
  </w:footnote>
  <w:footnote w:id="5">
    <w:p w:rsidR="001E205D" w:rsidRPr="001305A8" w:rsidRDefault="001E205D" w:rsidP="00F1558B">
      <w:pPr>
        <w:pStyle w:val="aff8"/>
      </w:pPr>
      <w:r w:rsidRPr="001305A8">
        <w:rPr>
          <w:rStyle w:val="affa"/>
          <w:rFonts w:eastAsiaTheme="majorEastAsia"/>
        </w:rPr>
        <w:footnoteRef/>
      </w:r>
      <w:r w:rsidRPr="001305A8">
        <w:t xml:space="preserve"> - Промежуточной ведомости присваивается номер в формате «№ номер по порядку /Номер договора/аббревиатура подразделения/ИДС», где аббревиатура ГК – Центральный аппарат Государственной компании «</w:t>
      </w:r>
      <w:proofErr w:type="spellStart"/>
      <w:r w:rsidRPr="001305A8">
        <w:t>Автодор</w:t>
      </w:r>
      <w:proofErr w:type="spellEnd"/>
      <w:r w:rsidRPr="001305A8">
        <w:t xml:space="preserve">», ГФ – </w:t>
      </w:r>
      <w:proofErr w:type="spellStart"/>
      <w:r w:rsidRPr="001305A8">
        <w:t>Голицынский</w:t>
      </w:r>
      <w:proofErr w:type="spellEnd"/>
      <w:r w:rsidRPr="001305A8">
        <w:t xml:space="preserve"> филиал.</w:t>
      </w:r>
    </w:p>
  </w:footnote>
  <w:footnote w:id="6">
    <w:p w:rsidR="001E205D" w:rsidRPr="001305A8" w:rsidRDefault="001E205D" w:rsidP="00F1558B">
      <w:pPr>
        <w:pStyle w:val="aff8"/>
      </w:pPr>
      <w:r w:rsidRPr="001305A8">
        <w:rPr>
          <w:rStyle w:val="affa"/>
          <w:rFonts w:eastAsiaTheme="majorEastAsia"/>
        </w:rPr>
        <w:footnoteRef/>
      </w:r>
      <w:r w:rsidRPr="001305A8">
        <w:t xml:space="preserve"> Коэффициенты снятия за несоответствие значения Показателей содержания и/или наличия Дефектов содержания ОС для соответствующего периода, установленных в границах 1 (одного искусственного дорожного сооружения). </w:t>
      </w:r>
    </w:p>
  </w:footnote>
  <w:footnote w:id="7">
    <w:p w:rsidR="001E205D" w:rsidRPr="001305A8" w:rsidRDefault="001E205D" w:rsidP="00F1558B">
      <w:pPr>
        <w:pStyle w:val="aff8"/>
      </w:pPr>
      <w:r w:rsidRPr="001305A8">
        <w:rPr>
          <w:rStyle w:val="affa"/>
          <w:rFonts w:eastAsiaTheme="majorEastAsia"/>
        </w:rPr>
        <w:footnoteRef/>
      </w:r>
      <w:r w:rsidRPr="001305A8">
        <w:t xml:space="preserve"> Коэффициент снятия за не устранение в директивный срок выявленного несоответствия Показателей содержания и/или наличия Дефектов содержания для соответствующего периода.</w:t>
      </w:r>
    </w:p>
  </w:footnote>
  <w:footnote w:id="8">
    <w:p w:rsidR="007411F0" w:rsidRDefault="001E205D" w:rsidP="007411F0">
      <w:pPr>
        <w:pStyle w:val="aff8"/>
      </w:pPr>
      <w:r w:rsidRPr="001305A8">
        <w:rPr>
          <w:rStyle w:val="affa"/>
          <w:rFonts w:eastAsiaTheme="majorEastAsia"/>
        </w:rPr>
        <w:footnoteRef/>
      </w:r>
      <w:r w:rsidRPr="001305A8">
        <w:t xml:space="preserve"> - Адрес ОС,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ИДС и/или Приемки услуг, в Промежуточной ведомости указывается со звездочкой «*». Адрес ОС переносится в Промежуточную Ведомость ЛОС, оформляемую по результатам Приемки услуг </w:t>
      </w:r>
      <w:r w:rsidR="007411F0" w:rsidRPr="007411F0">
        <w:t>согласно пункту 2.2.15 Типового приложения № 141, утвержденного приказом Государственной компании «Российские автомобильные дороги</w:t>
      </w:r>
      <w:r w:rsidR="007411F0">
        <w:t>»</w:t>
      </w:r>
      <w:r w:rsidR="007411F0">
        <w:rPr>
          <w:vertAlign w:val="superscript"/>
        </w:rPr>
        <w:t>8</w:t>
      </w:r>
      <w:r w:rsidR="007411F0">
        <w:rPr>
          <w:vertAlign w:val="superscript"/>
          <w:lang w:val="en-US"/>
        </w:rPr>
        <w:t>.1</w:t>
      </w:r>
      <w:r w:rsidR="007411F0" w:rsidRPr="001305A8">
        <w:t>.</w:t>
      </w:r>
    </w:p>
    <w:p w:rsidR="001E205D" w:rsidRPr="001305A8" w:rsidRDefault="007411F0" w:rsidP="007411F0">
      <w:pPr>
        <w:pStyle w:val="aff8"/>
      </w:pPr>
      <w:r>
        <w:t xml:space="preserve">    </w:t>
      </w:r>
      <w:r>
        <w:rPr>
          <w:vertAlign w:val="superscript"/>
        </w:rPr>
        <w:t>8</w:t>
      </w:r>
      <w:r>
        <w:rPr>
          <w:vertAlign w:val="superscript"/>
        </w:rPr>
        <w:t xml:space="preserve">.1 </w:t>
      </w:r>
      <w:r w:rsidRPr="007411F0">
        <w:rPr>
          <w:lang w:bidi="ru-RU"/>
        </w:rPr>
        <w:t>Приказом № 102 от 01.04.2026 внесены изменения, а именно слова «согласно пункту 2.2.15 настоящего Порядка» заменены словами «согласно пункту 2.2.15 Типового приложения № 141, утвержденного приказом Государственной компании «Российские автомобильные дороги</w:t>
      </w:r>
      <w:proofErr w:type="gramStart"/>
      <w:r>
        <w:rPr>
          <w:lang w:bidi="ru-RU"/>
        </w:rPr>
        <w:t>»</w:t>
      </w:r>
      <w:proofErr w:type="gramEnd"/>
      <w:r w:rsidRPr="007411F0">
        <w:rPr>
          <w:lang w:bidi="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670"/>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11F0"/>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1FDB"/>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5604D"/>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567A-A92C-4C24-8727-2EA60897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Войнов Глеб Николаевич</cp:lastModifiedBy>
  <cp:revision>3</cp:revision>
  <cp:lastPrinted>2025-11-19T08:25:00Z</cp:lastPrinted>
  <dcterms:created xsi:type="dcterms:W3CDTF">2025-11-25T11:46:00Z</dcterms:created>
  <dcterms:modified xsi:type="dcterms:W3CDTF">2026-04-03T12:56:00Z</dcterms:modified>
</cp:coreProperties>
</file>