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10632"/>
        <w:jc w:val="center"/>
      </w:pPr>
      <w:bookmarkStart w:id="0" w:name="_Toc509910356"/>
      <w:r w:rsidRPr="007B4B0B">
        <w:t>УТВЕРЖДЕНО</w:t>
      </w:r>
    </w:p>
    <w:p w:rsidR="001B2474" w:rsidRPr="007B4B0B" w:rsidRDefault="001B2474" w:rsidP="006B3726">
      <w:pPr>
        <w:ind w:left="10632"/>
        <w:jc w:val="center"/>
      </w:pPr>
      <w:r w:rsidRPr="007B4B0B">
        <w:t>приказом Государственной компании</w:t>
      </w:r>
    </w:p>
    <w:p w:rsidR="001B2474" w:rsidRPr="007B4B0B" w:rsidRDefault="001B2474" w:rsidP="006B3726">
      <w:pPr>
        <w:ind w:left="10632"/>
        <w:jc w:val="center"/>
      </w:pPr>
      <w:r w:rsidRPr="007B4B0B">
        <w:t>«Российские автомобильные дороги»</w:t>
      </w:r>
    </w:p>
    <w:p w:rsidR="001B2474" w:rsidRPr="006B3726" w:rsidRDefault="0054569C" w:rsidP="006B3726">
      <w:pPr>
        <w:ind w:left="10632"/>
        <w:jc w:val="center"/>
      </w:pPr>
      <w:r>
        <w:t>от «21» ноября 2025 г. № 508</w:t>
      </w:r>
    </w:p>
    <w:p w:rsidR="001B2474" w:rsidRPr="007B4B0B" w:rsidRDefault="001B2474" w:rsidP="001B2474">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102</w:t>
      </w:r>
      <w:r w:rsidRPr="007B4B0B">
        <w:rPr>
          <w:b/>
          <w:color w:val="000000"/>
          <w:szCs w:val="22"/>
        </w:rPr>
        <w:t xml:space="preserve">. </w:t>
      </w:r>
      <w:r w:rsidRPr="007B4B0B">
        <w:rPr>
          <w:rFonts w:eastAsia="Calibri"/>
          <w:b/>
          <w:color w:val="000000"/>
          <w:lang w:eastAsia="en-US"/>
        </w:rPr>
        <w:t>Форма Электрооборудование и сетевое хозяйство</w:t>
      </w:r>
      <w:r w:rsidR="00B53AA1" w:rsidRPr="005E7F0D">
        <w:rPr>
          <w:b/>
          <w:color w:val="000000"/>
          <w:szCs w:val="22"/>
        </w:rPr>
        <w:t xml:space="preserve"> </w:t>
      </w:r>
      <w:r w:rsidR="00B53AA1" w:rsidRPr="005E7F0D">
        <w:rPr>
          <w:b/>
        </w:rPr>
        <w:t>(для договоров на содержание)</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ind w:right="223"/>
        <w:rPr>
          <w:sz w:val="18"/>
          <w:szCs w:val="18"/>
          <w:lang w:bidi="ru-RU"/>
        </w:rPr>
      </w:pPr>
      <w:r w:rsidRPr="007B4B0B">
        <w:rPr>
          <w:sz w:val="18"/>
          <w:szCs w:val="18"/>
          <w:lang w:bidi="ru-RU"/>
        </w:rPr>
        <w:t>Начало Формы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559"/>
        <w:gridCol w:w="515"/>
        <w:gridCol w:w="575"/>
        <w:gridCol w:w="1020"/>
        <w:gridCol w:w="895"/>
        <w:gridCol w:w="1046"/>
        <w:gridCol w:w="933"/>
        <w:gridCol w:w="933"/>
        <w:gridCol w:w="802"/>
        <w:gridCol w:w="802"/>
        <w:gridCol w:w="710"/>
        <w:gridCol w:w="685"/>
        <w:gridCol w:w="756"/>
        <w:gridCol w:w="971"/>
        <w:gridCol w:w="781"/>
        <w:gridCol w:w="834"/>
        <w:gridCol w:w="834"/>
      </w:tblGrid>
      <w:tr w:rsidR="00561C3B" w:rsidRPr="007B4B0B" w:rsidTr="003256EB">
        <w:trPr>
          <w:trHeight w:val="670"/>
        </w:trPr>
        <w:tc>
          <w:tcPr>
            <w:tcW w:w="352"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Наименование филиала Государственной компании "Автодор"/ наименование автомобильной дороги/ № п/п</w:t>
            </w:r>
          </w:p>
        </w:tc>
        <w:tc>
          <w:tcPr>
            <w:tcW w:w="341" w:type="pct"/>
            <w:gridSpan w:val="2"/>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Адреса участков</w:t>
            </w:r>
          </w:p>
        </w:tc>
        <w:tc>
          <w:tcPr>
            <w:tcW w:w="185"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Тип участка,</w:t>
            </w:r>
            <w:r w:rsidRPr="007B4B0B">
              <w:rPr>
                <w:color w:val="000000"/>
                <w:sz w:val="18"/>
                <w:szCs w:val="18"/>
                <w:vertAlign w:val="superscript"/>
                <w:lang w:bidi="ru-RU"/>
              </w:rPr>
              <w:t xml:space="preserve"> название населенного пункта.</w:t>
            </w:r>
          </w:p>
        </w:tc>
        <w:tc>
          <w:tcPr>
            <w:tcW w:w="339"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 xml:space="preserve"> Протяженность устроенного  электроосвещения по основному ходу.</w:t>
            </w:r>
          </w:p>
        </w:tc>
        <w:tc>
          <w:tcPr>
            <w:tcW w:w="308"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Протяженность линий освещения на развязках, без основного хода.</w:t>
            </w:r>
          </w:p>
        </w:tc>
        <w:tc>
          <w:tcPr>
            <w:tcW w:w="367"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Общая линейная протяженность всех линий электроосвещения. (длина линий элктроосвещения полная по основному ходу право/лево, доп. проезды, на развязках, съездах и т.д. км)</w:t>
            </w:r>
          </w:p>
        </w:tc>
        <w:tc>
          <w:tcPr>
            <w:tcW w:w="32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Длина КЛ-10кВ</w:t>
            </w:r>
          </w:p>
        </w:tc>
        <w:tc>
          <w:tcPr>
            <w:tcW w:w="32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Длина ВЛ-10кВ</w:t>
            </w:r>
          </w:p>
        </w:tc>
        <w:tc>
          <w:tcPr>
            <w:tcW w:w="27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Длина КЛ-0,4кВ</w:t>
            </w:r>
          </w:p>
        </w:tc>
        <w:tc>
          <w:tcPr>
            <w:tcW w:w="27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Длина ВЛ-0,4кВ</w:t>
            </w:r>
          </w:p>
        </w:tc>
        <w:tc>
          <w:tcPr>
            <w:tcW w:w="237"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Опоры освещения,</w:t>
            </w:r>
            <w:r w:rsidRPr="007B4B0B">
              <w:rPr>
                <w:color w:val="000000"/>
                <w:sz w:val="18"/>
                <w:szCs w:val="18"/>
                <w:lang w:bidi="ru-RU"/>
              </w:rPr>
              <w:br/>
              <w:t>шт</w:t>
            </w:r>
          </w:p>
        </w:tc>
        <w:tc>
          <w:tcPr>
            <w:tcW w:w="250"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Тип опор освещения</w:t>
            </w:r>
          </w:p>
        </w:tc>
        <w:tc>
          <w:tcPr>
            <w:tcW w:w="255"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 xml:space="preserve">Опоры э/снабжения 0,23-0,4 кВ, </w:t>
            </w:r>
            <w:r w:rsidRPr="007B4B0B">
              <w:rPr>
                <w:color w:val="000000"/>
                <w:sz w:val="18"/>
                <w:szCs w:val="18"/>
                <w:lang w:bidi="ru-RU"/>
              </w:rPr>
              <w:br/>
              <w:t>шт.</w:t>
            </w:r>
          </w:p>
        </w:tc>
        <w:tc>
          <w:tcPr>
            <w:tcW w:w="338"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Тип опор энергоснабжения 0,23-0,4 кВ</w:t>
            </w:r>
            <w:r w:rsidRPr="007B4B0B">
              <w:rPr>
                <w:color w:val="000000"/>
                <w:sz w:val="18"/>
                <w:szCs w:val="18"/>
                <w:vertAlign w:val="superscript"/>
                <w:lang w:bidi="ru-RU"/>
              </w:rPr>
              <w:t>4</w:t>
            </w:r>
          </w:p>
        </w:tc>
        <w:tc>
          <w:tcPr>
            <w:tcW w:w="265"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Опоры э/снабжения, 6-10 кВ</w:t>
            </w:r>
          </w:p>
        </w:tc>
        <w:tc>
          <w:tcPr>
            <w:tcW w:w="285"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Количество светильников, шт</w:t>
            </w:r>
          </w:p>
        </w:tc>
        <w:tc>
          <w:tcPr>
            <w:tcW w:w="285"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Количество светодиодных светильников, шт</w:t>
            </w:r>
          </w:p>
        </w:tc>
      </w:tr>
      <w:tr w:rsidR="003256EB" w:rsidRPr="007B4B0B" w:rsidTr="003256EB">
        <w:trPr>
          <w:trHeight w:val="1969"/>
        </w:trPr>
        <w:tc>
          <w:tcPr>
            <w:tcW w:w="352"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179"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Начало,</w:t>
            </w:r>
            <w:r w:rsidRPr="007B4B0B">
              <w:rPr>
                <w:color w:val="000000"/>
                <w:sz w:val="18"/>
                <w:szCs w:val="18"/>
                <w:lang w:bidi="ru-RU"/>
              </w:rPr>
              <w:br/>
              <w:t xml:space="preserve"> км + м</w:t>
            </w:r>
          </w:p>
        </w:tc>
        <w:tc>
          <w:tcPr>
            <w:tcW w:w="162"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 xml:space="preserve">Конец, </w:t>
            </w:r>
            <w:r w:rsidRPr="007B4B0B">
              <w:rPr>
                <w:color w:val="000000"/>
                <w:sz w:val="18"/>
                <w:szCs w:val="18"/>
                <w:lang w:bidi="ru-RU"/>
              </w:rPr>
              <w:br/>
              <w:t>км + м</w:t>
            </w:r>
          </w:p>
        </w:tc>
        <w:tc>
          <w:tcPr>
            <w:tcW w:w="185"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339"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308"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367"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32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подводящие и вдольтрассовые, км</w:t>
            </w:r>
          </w:p>
        </w:tc>
        <w:tc>
          <w:tcPr>
            <w:tcW w:w="32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подводящие и вдольтрассовые,</w:t>
            </w:r>
            <w:r w:rsidRPr="007B4B0B">
              <w:rPr>
                <w:color w:val="000000"/>
                <w:sz w:val="18"/>
                <w:szCs w:val="18"/>
                <w:lang w:bidi="ru-RU"/>
              </w:rPr>
              <w:br/>
              <w:t xml:space="preserve"> км</w:t>
            </w:r>
          </w:p>
        </w:tc>
        <w:tc>
          <w:tcPr>
            <w:tcW w:w="27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общая, с учетом подводящих к опорам освещения и межопорных,</w:t>
            </w:r>
            <w:r w:rsidRPr="007B4B0B">
              <w:rPr>
                <w:color w:val="000000"/>
                <w:sz w:val="18"/>
                <w:szCs w:val="18"/>
                <w:lang w:bidi="ru-RU"/>
              </w:rPr>
              <w:br/>
              <w:t xml:space="preserve"> км</w:t>
            </w:r>
          </w:p>
        </w:tc>
        <w:tc>
          <w:tcPr>
            <w:tcW w:w="27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общая, с учетом подводящих к опорам освещения и межопорных,</w:t>
            </w:r>
            <w:r w:rsidRPr="007B4B0B">
              <w:rPr>
                <w:color w:val="000000"/>
                <w:sz w:val="18"/>
                <w:szCs w:val="18"/>
                <w:lang w:bidi="ru-RU"/>
              </w:rPr>
              <w:br/>
              <w:t xml:space="preserve"> км</w:t>
            </w:r>
          </w:p>
        </w:tc>
        <w:tc>
          <w:tcPr>
            <w:tcW w:w="237"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250"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255"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338"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265"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285"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285" w:type="pct"/>
            <w:vMerge/>
            <w:vAlign w:val="center"/>
            <w:hideMark/>
          </w:tcPr>
          <w:p w:rsidR="003256EB" w:rsidRPr="007B4B0B" w:rsidRDefault="003256EB" w:rsidP="003256EB">
            <w:pPr>
              <w:widowControl w:val="0"/>
              <w:autoSpaceDE w:val="0"/>
              <w:autoSpaceDN w:val="0"/>
              <w:rPr>
                <w:color w:val="000000"/>
                <w:sz w:val="18"/>
                <w:szCs w:val="18"/>
                <w:lang w:bidi="ru-RU"/>
              </w:rPr>
            </w:pPr>
          </w:p>
        </w:tc>
      </w:tr>
      <w:tr w:rsidR="00561C3B" w:rsidRPr="007B4B0B" w:rsidTr="003256EB">
        <w:trPr>
          <w:trHeight w:val="126"/>
        </w:trPr>
        <w:tc>
          <w:tcPr>
            <w:tcW w:w="352"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1</w:t>
            </w:r>
          </w:p>
        </w:tc>
        <w:tc>
          <w:tcPr>
            <w:tcW w:w="179"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2</w:t>
            </w:r>
          </w:p>
        </w:tc>
        <w:tc>
          <w:tcPr>
            <w:tcW w:w="162"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3</w:t>
            </w:r>
          </w:p>
        </w:tc>
        <w:tc>
          <w:tcPr>
            <w:tcW w:w="185"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4</w:t>
            </w:r>
          </w:p>
        </w:tc>
        <w:tc>
          <w:tcPr>
            <w:tcW w:w="339"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5</w:t>
            </w:r>
          </w:p>
        </w:tc>
        <w:tc>
          <w:tcPr>
            <w:tcW w:w="308"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6</w:t>
            </w:r>
          </w:p>
        </w:tc>
        <w:tc>
          <w:tcPr>
            <w:tcW w:w="367"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7</w:t>
            </w:r>
          </w:p>
        </w:tc>
        <w:tc>
          <w:tcPr>
            <w:tcW w:w="32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8</w:t>
            </w:r>
          </w:p>
        </w:tc>
        <w:tc>
          <w:tcPr>
            <w:tcW w:w="32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9</w:t>
            </w:r>
          </w:p>
        </w:tc>
        <w:tc>
          <w:tcPr>
            <w:tcW w:w="27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10</w:t>
            </w:r>
          </w:p>
        </w:tc>
        <w:tc>
          <w:tcPr>
            <w:tcW w:w="273"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11</w:t>
            </w:r>
          </w:p>
        </w:tc>
        <w:tc>
          <w:tcPr>
            <w:tcW w:w="237"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12</w:t>
            </w:r>
          </w:p>
        </w:tc>
        <w:tc>
          <w:tcPr>
            <w:tcW w:w="250"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13</w:t>
            </w:r>
          </w:p>
        </w:tc>
        <w:tc>
          <w:tcPr>
            <w:tcW w:w="255"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14</w:t>
            </w:r>
          </w:p>
        </w:tc>
        <w:tc>
          <w:tcPr>
            <w:tcW w:w="338"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15</w:t>
            </w:r>
          </w:p>
        </w:tc>
        <w:tc>
          <w:tcPr>
            <w:tcW w:w="265"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16</w:t>
            </w:r>
          </w:p>
        </w:tc>
        <w:tc>
          <w:tcPr>
            <w:tcW w:w="285"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17</w:t>
            </w:r>
          </w:p>
        </w:tc>
        <w:tc>
          <w:tcPr>
            <w:tcW w:w="285"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18</w:t>
            </w:r>
          </w:p>
        </w:tc>
      </w:tr>
      <w:tr w:rsidR="00561C3B" w:rsidRPr="007B4B0B" w:rsidTr="003256EB">
        <w:trPr>
          <w:trHeight w:val="495"/>
        </w:trPr>
        <w:tc>
          <w:tcPr>
            <w:tcW w:w="35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 филиал Государственной компании</w:t>
            </w:r>
          </w:p>
        </w:tc>
        <w:tc>
          <w:tcPr>
            <w:tcW w:w="17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6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0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6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3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50"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5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6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r>
      <w:tr w:rsidR="00561C3B" w:rsidRPr="007B4B0B" w:rsidTr="003256EB">
        <w:trPr>
          <w:trHeight w:val="495"/>
        </w:trPr>
        <w:tc>
          <w:tcPr>
            <w:tcW w:w="35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 xml:space="preserve">Автомобильная дорога ……. на участке км  …+.. </w:t>
            </w:r>
            <w:r w:rsidRPr="007B4B0B">
              <w:rPr>
                <w:color w:val="000000"/>
                <w:sz w:val="18"/>
                <w:szCs w:val="18"/>
                <w:lang w:bidi="ru-RU"/>
              </w:rPr>
              <w:lastRenderedPageBreak/>
              <w:t>- км…+..</w:t>
            </w:r>
          </w:p>
        </w:tc>
        <w:tc>
          <w:tcPr>
            <w:tcW w:w="17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6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0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6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3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50"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5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6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r>
      <w:tr w:rsidR="00561C3B" w:rsidRPr="007B4B0B" w:rsidTr="003256EB">
        <w:trPr>
          <w:trHeight w:val="495"/>
        </w:trPr>
        <w:tc>
          <w:tcPr>
            <w:tcW w:w="35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7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6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0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6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3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50"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5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6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r>
      <w:tr w:rsidR="00561C3B" w:rsidRPr="007B4B0B" w:rsidTr="003256EB">
        <w:trPr>
          <w:trHeight w:val="495"/>
        </w:trPr>
        <w:tc>
          <w:tcPr>
            <w:tcW w:w="35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7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6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0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6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3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50"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5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6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r>
      <w:tr w:rsidR="00561C3B" w:rsidRPr="007B4B0B" w:rsidTr="003256EB">
        <w:trPr>
          <w:trHeight w:val="495"/>
        </w:trPr>
        <w:tc>
          <w:tcPr>
            <w:tcW w:w="35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7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6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0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6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3"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3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50"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5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6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r>
    </w:tbl>
    <w:p w:rsidR="003256EB" w:rsidRPr="007B4B0B" w:rsidRDefault="003256EB" w:rsidP="003256EB">
      <w:pPr>
        <w:widowControl w:val="0"/>
        <w:autoSpaceDE w:val="0"/>
        <w:autoSpaceDN w:val="0"/>
        <w:ind w:right="223"/>
        <w:jc w:val="center"/>
        <w:rPr>
          <w:b/>
          <w:sz w:val="18"/>
          <w:szCs w:val="18"/>
          <w:lang w:bidi="ru-RU"/>
        </w:rPr>
      </w:pPr>
    </w:p>
    <w:p w:rsidR="003256EB" w:rsidRPr="007B4B0B" w:rsidRDefault="003256EB" w:rsidP="003256EB">
      <w:pPr>
        <w:widowControl w:val="0"/>
        <w:autoSpaceDE w:val="0"/>
        <w:autoSpaceDN w:val="0"/>
        <w:ind w:left="372" w:firstLine="567"/>
        <w:rPr>
          <w:sz w:val="18"/>
          <w:szCs w:val="18"/>
          <w:lang w:bidi="ru-RU"/>
        </w:rPr>
      </w:pPr>
      <w:r w:rsidRPr="007B4B0B">
        <w:rPr>
          <w:sz w:val="18"/>
          <w:szCs w:val="18"/>
          <w:lang w:bidi="ru-RU"/>
        </w:rPr>
        <w:t>Продолжение Формы</w:t>
      </w:r>
    </w:p>
    <w:p w:rsidR="003256EB" w:rsidRPr="007B4B0B" w:rsidRDefault="003256EB" w:rsidP="003256EB">
      <w:pPr>
        <w:widowControl w:val="0"/>
        <w:autoSpaceDE w:val="0"/>
        <w:autoSpaceDN w:val="0"/>
        <w:ind w:right="223"/>
        <w:rPr>
          <w:b/>
          <w:sz w:val="18"/>
          <w:szCs w:val="18"/>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19"/>
        <w:gridCol w:w="1055"/>
        <w:gridCol w:w="687"/>
        <w:gridCol w:w="1191"/>
        <w:gridCol w:w="1207"/>
        <w:gridCol w:w="1043"/>
        <w:gridCol w:w="916"/>
        <w:gridCol w:w="1057"/>
        <w:gridCol w:w="1024"/>
        <w:gridCol w:w="926"/>
        <w:gridCol w:w="998"/>
        <w:gridCol w:w="1165"/>
        <w:gridCol w:w="979"/>
        <w:gridCol w:w="894"/>
      </w:tblGrid>
      <w:tr w:rsidR="003256EB" w:rsidRPr="007B4B0B" w:rsidTr="003256EB">
        <w:trPr>
          <w:trHeight w:val="535"/>
        </w:trPr>
        <w:tc>
          <w:tcPr>
            <w:tcW w:w="754"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Тип, марка, производитель, мощность светильников</w:t>
            </w:r>
          </w:p>
        </w:tc>
        <w:tc>
          <w:tcPr>
            <w:tcW w:w="1769" w:type="pct"/>
            <w:gridSpan w:val="6"/>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Трансформаторные подстанции</w:t>
            </w:r>
          </w:p>
        </w:tc>
        <w:tc>
          <w:tcPr>
            <w:tcW w:w="279"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 xml:space="preserve">Шкафы управления наружным освещением, </w:t>
            </w:r>
            <w:r w:rsidRPr="007B4B0B">
              <w:rPr>
                <w:color w:val="000000"/>
                <w:sz w:val="18"/>
                <w:szCs w:val="18"/>
                <w:lang w:bidi="ru-RU"/>
              </w:rPr>
              <w:br/>
              <w:t>шт.</w:t>
            </w:r>
          </w:p>
        </w:tc>
        <w:tc>
          <w:tcPr>
            <w:tcW w:w="325"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АСУНО, тип (фотореле, PLX, контроллер с удаленным управлением), производитель.</w:t>
            </w:r>
          </w:p>
        </w:tc>
        <w:tc>
          <w:tcPr>
            <w:tcW w:w="314"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Дата ввода в эксплуатацию/</w:t>
            </w:r>
            <w:r w:rsidRPr="007B4B0B">
              <w:rPr>
                <w:color w:val="000000"/>
                <w:sz w:val="18"/>
                <w:szCs w:val="18"/>
                <w:lang w:bidi="ru-RU"/>
              </w:rPr>
              <w:br/>
              <w:t>Дата окончания строительства</w:t>
            </w:r>
          </w:p>
        </w:tc>
        <w:tc>
          <w:tcPr>
            <w:tcW w:w="282"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Дата окончания гарантийных обязательств</w:t>
            </w:r>
          </w:p>
        </w:tc>
        <w:tc>
          <w:tcPr>
            <w:tcW w:w="306"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Количество коммерческих узлов учета э/э, шт</w:t>
            </w:r>
          </w:p>
        </w:tc>
        <w:tc>
          <w:tcPr>
            <w:tcW w:w="358"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Наличие АСКУЭ/работает +/-</w:t>
            </w:r>
          </w:p>
        </w:tc>
        <w:tc>
          <w:tcPr>
            <w:tcW w:w="339" w:type="pct"/>
            <w:vMerge w:val="restar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Физический износ оборудования</w:t>
            </w:r>
          </w:p>
        </w:tc>
        <w:tc>
          <w:tcPr>
            <w:tcW w:w="274" w:type="pct"/>
            <w:vMerge w:val="restart"/>
            <w:shd w:val="clear" w:color="000000" w:fill="FFFFFF"/>
            <w:noWrap/>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Примечание</w:t>
            </w:r>
          </w:p>
        </w:tc>
      </w:tr>
      <w:tr w:rsidR="003256EB" w:rsidRPr="007B4B0B" w:rsidTr="003256EB">
        <w:trPr>
          <w:trHeight w:val="1280"/>
        </w:trPr>
        <w:tc>
          <w:tcPr>
            <w:tcW w:w="754" w:type="pct"/>
            <w:shd w:val="clear" w:color="000000" w:fill="FFFFFF"/>
            <w:noWrap/>
            <w:vAlign w:val="center"/>
            <w:hideMark/>
          </w:tcPr>
          <w:p w:rsidR="003256EB" w:rsidRPr="007B4B0B" w:rsidRDefault="003256EB" w:rsidP="003256EB">
            <w:pPr>
              <w:widowControl w:val="0"/>
              <w:autoSpaceDE w:val="0"/>
              <w:autoSpaceDN w:val="0"/>
              <w:jc w:val="center"/>
              <w:rPr>
                <w:sz w:val="18"/>
                <w:szCs w:val="18"/>
                <w:lang w:bidi="ru-RU"/>
              </w:rPr>
            </w:pPr>
            <w:r w:rsidRPr="007B4B0B">
              <w:rPr>
                <w:sz w:val="18"/>
                <w:szCs w:val="18"/>
                <w:lang w:bidi="ru-RU"/>
              </w:rPr>
              <w:t> </w:t>
            </w:r>
          </w:p>
        </w:tc>
        <w:tc>
          <w:tcPr>
            <w:tcW w:w="161"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ТП, шт</w:t>
            </w:r>
          </w:p>
        </w:tc>
        <w:tc>
          <w:tcPr>
            <w:tcW w:w="324"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Тип ТП, произволитель.</w:t>
            </w:r>
          </w:p>
        </w:tc>
        <w:tc>
          <w:tcPr>
            <w:tcW w:w="204"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Наличие АСДУ ТП</w:t>
            </w:r>
          </w:p>
        </w:tc>
        <w:tc>
          <w:tcPr>
            <w:tcW w:w="369"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Трансформаторы, шт</w:t>
            </w:r>
          </w:p>
        </w:tc>
        <w:tc>
          <w:tcPr>
            <w:tcW w:w="374"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Мощность трансформаторов, кВА</w:t>
            </w:r>
          </w:p>
        </w:tc>
        <w:tc>
          <w:tcPr>
            <w:tcW w:w="337"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Наличие иных потребителей подключённых к ТП</w:t>
            </w:r>
          </w:p>
        </w:tc>
        <w:tc>
          <w:tcPr>
            <w:tcW w:w="279"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325"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314"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282"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306"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358"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339" w:type="pct"/>
            <w:vMerge/>
            <w:vAlign w:val="center"/>
            <w:hideMark/>
          </w:tcPr>
          <w:p w:rsidR="003256EB" w:rsidRPr="007B4B0B" w:rsidRDefault="003256EB" w:rsidP="003256EB">
            <w:pPr>
              <w:widowControl w:val="0"/>
              <w:autoSpaceDE w:val="0"/>
              <w:autoSpaceDN w:val="0"/>
              <w:rPr>
                <w:color w:val="000000"/>
                <w:sz w:val="18"/>
                <w:szCs w:val="18"/>
                <w:lang w:bidi="ru-RU"/>
              </w:rPr>
            </w:pPr>
          </w:p>
        </w:tc>
        <w:tc>
          <w:tcPr>
            <w:tcW w:w="274" w:type="pct"/>
            <w:vMerge/>
            <w:vAlign w:val="center"/>
            <w:hideMark/>
          </w:tcPr>
          <w:p w:rsidR="003256EB" w:rsidRPr="007B4B0B" w:rsidRDefault="003256EB" w:rsidP="003256EB">
            <w:pPr>
              <w:widowControl w:val="0"/>
              <w:autoSpaceDE w:val="0"/>
              <w:autoSpaceDN w:val="0"/>
              <w:rPr>
                <w:color w:val="000000"/>
                <w:sz w:val="18"/>
                <w:szCs w:val="18"/>
                <w:lang w:bidi="ru-RU"/>
              </w:rPr>
            </w:pPr>
          </w:p>
        </w:tc>
      </w:tr>
      <w:tr w:rsidR="00561C3B" w:rsidRPr="007B4B0B" w:rsidTr="003256EB">
        <w:trPr>
          <w:trHeight w:val="495"/>
        </w:trPr>
        <w:tc>
          <w:tcPr>
            <w:tcW w:w="754"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19</w:t>
            </w:r>
          </w:p>
        </w:tc>
        <w:tc>
          <w:tcPr>
            <w:tcW w:w="161"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20</w:t>
            </w:r>
          </w:p>
        </w:tc>
        <w:tc>
          <w:tcPr>
            <w:tcW w:w="324"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21</w:t>
            </w:r>
          </w:p>
        </w:tc>
        <w:tc>
          <w:tcPr>
            <w:tcW w:w="204"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22</w:t>
            </w:r>
          </w:p>
        </w:tc>
        <w:tc>
          <w:tcPr>
            <w:tcW w:w="369"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23</w:t>
            </w:r>
          </w:p>
        </w:tc>
        <w:tc>
          <w:tcPr>
            <w:tcW w:w="374"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24</w:t>
            </w:r>
          </w:p>
        </w:tc>
        <w:tc>
          <w:tcPr>
            <w:tcW w:w="337"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25</w:t>
            </w:r>
          </w:p>
        </w:tc>
        <w:tc>
          <w:tcPr>
            <w:tcW w:w="279"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26</w:t>
            </w:r>
          </w:p>
        </w:tc>
        <w:tc>
          <w:tcPr>
            <w:tcW w:w="325"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27</w:t>
            </w:r>
          </w:p>
        </w:tc>
        <w:tc>
          <w:tcPr>
            <w:tcW w:w="314"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28</w:t>
            </w:r>
          </w:p>
        </w:tc>
        <w:tc>
          <w:tcPr>
            <w:tcW w:w="282"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29</w:t>
            </w:r>
          </w:p>
        </w:tc>
        <w:tc>
          <w:tcPr>
            <w:tcW w:w="306"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30</w:t>
            </w:r>
          </w:p>
        </w:tc>
        <w:tc>
          <w:tcPr>
            <w:tcW w:w="358"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31</w:t>
            </w:r>
          </w:p>
        </w:tc>
        <w:tc>
          <w:tcPr>
            <w:tcW w:w="339"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32</w:t>
            </w:r>
          </w:p>
        </w:tc>
        <w:tc>
          <w:tcPr>
            <w:tcW w:w="274" w:type="pct"/>
            <w:shd w:val="clear" w:color="000000" w:fill="FFFFFF"/>
            <w:vAlign w:val="center"/>
            <w:hideMark/>
          </w:tcPr>
          <w:p w:rsidR="003256EB" w:rsidRPr="007B4B0B" w:rsidRDefault="003256EB" w:rsidP="003256EB">
            <w:pPr>
              <w:widowControl w:val="0"/>
              <w:autoSpaceDE w:val="0"/>
              <w:autoSpaceDN w:val="0"/>
              <w:jc w:val="center"/>
              <w:rPr>
                <w:color w:val="000000"/>
                <w:sz w:val="18"/>
                <w:szCs w:val="18"/>
                <w:lang w:bidi="ru-RU"/>
              </w:rPr>
            </w:pPr>
            <w:r w:rsidRPr="007B4B0B">
              <w:rPr>
                <w:color w:val="000000"/>
                <w:sz w:val="18"/>
                <w:szCs w:val="18"/>
                <w:lang w:bidi="ru-RU"/>
              </w:rPr>
              <w:t>33</w:t>
            </w:r>
          </w:p>
        </w:tc>
      </w:tr>
      <w:tr w:rsidR="00561C3B" w:rsidRPr="007B4B0B" w:rsidTr="003256EB">
        <w:trPr>
          <w:trHeight w:val="495"/>
        </w:trPr>
        <w:tc>
          <w:tcPr>
            <w:tcW w:w="75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61"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0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6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7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1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06"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5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r>
      <w:tr w:rsidR="00561C3B" w:rsidRPr="007B4B0B" w:rsidTr="003256EB">
        <w:trPr>
          <w:trHeight w:val="495"/>
        </w:trPr>
        <w:tc>
          <w:tcPr>
            <w:tcW w:w="75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161"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0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6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7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7"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25"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1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82"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06"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58"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339"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c>
          <w:tcPr>
            <w:tcW w:w="274" w:type="pct"/>
            <w:shd w:val="clear" w:color="000000" w:fill="FFFFFF"/>
            <w:vAlign w:val="center"/>
          </w:tcPr>
          <w:p w:rsidR="003256EB" w:rsidRPr="007B4B0B" w:rsidRDefault="003256EB" w:rsidP="003256EB">
            <w:pPr>
              <w:widowControl w:val="0"/>
              <w:autoSpaceDE w:val="0"/>
              <w:autoSpaceDN w:val="0"/>
              <w:jc w:val="center"/>
              <w:rPr>
                <w:color w:val="000000"/>
                <w:sz w:val="18"/>
                <w:szCs w:val="18"/>
                <w:lang w:bidi="ru-RU"/>
              </w:rPr>
            </w:pPr>
          </w:p>
        </w:tc>
      </w:tr>
    </w:tbl>
    <w:p w:rsidR="003256EB" w:rsidRPr="007B4B0B" w:rsidRDefault="003256EB" w:rsidP="003256EB">
      <w:pPr>
        <w:widowControl w:val="0"/>
        <w:autoSpaceDE w:val="0"/>
        <w:autoSpaceDN w:val="0"/>
        <w:ind w:right="223" w:firstLine="629"/>
        <w:rPr>
          <w:sz w:val="18"/>
          <w:szCs w:val="18"/>
          <w:lang w:bidi="ru-RU"/>
        </w:rPr>
      </w:pPr>
    </w:p>
    <w:p w:rsidR="00217D16" w:rsidRPr="002878FA" w:rsidRDefault="003256EB" w:rsidP="00500C31">
      <w:pPr>
        <w:widowControl w:val="0"/>
        <w:autoSpaceDE w:val="0"/>
        <w:autoSpaceDN w:val="0"/>
        <w:ind w:right="223" w:firstLine="629"/>
      </w:pPr>
      <w:r w:rsidRPr="007B4B0B">
        <w:rPr>
          <w:sz w:val="22"/>
          <w:szCs w:val="22"/>
          <w:lang w:bidi="ru-RU"/>
        </w:rPr>
        <w:t>Уполномоченный представитель Подрядчика _______</w:t>
      </w:r>
      <w:bookmarkStart w:id="1" w:name="_GoBack"/>
      <w:bookmarkEnd w:id="0"/>
      <w:bookmarkEnd w:id="1"/>
    </w:p>
    <w:sectPr w:rsidR="00217D16" w:rsidRPr="002878FA" w:rsidSect="00500C31">
      <w:footerReference w:type="default" r:id="rId8"/>
      <w:type w:val="nextColumn"/>
      <w:pgSz w:w="16838" w:h="11906" w:orient="landscape"/>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95E" w:rsidRDefault="007A095E" w:rsidP="00520FE2">
      <w:r>
        <w:separator/>
      </w:r>
    </w:p>
  </w:endnote>
  <w:endnote w:type="continuationSeparator" w:id="0">
    <w:p w:rsidR="007A095E" w:rsidRDefault="007A095E"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95E" w:rsidRDefault="007A095E" w:rsidP="00520FE2">
      <w:r>
        <w:separator/>
      </w:r>
    </w:p>
  </w:footnote>
  <w:footnote w:type="continuationSeparator" w:id="0">
    <w:p w:rsidR="007A095E" w:rsidRDefault="007A095E"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0C31"/>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095E"/>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DECD-CA10-41A0-AED3-47DCC31A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2025-11-24T15:19:00Z</dcterms:created>
  <dcterms:modified xsi:type="dcterms:W3CDTF">2025-11-24T15:19:00Z</dcterms:modified>
</cp:coreProperties>
</file>