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bookmarkStart w:id="0" w:name="_Toc509910356"/>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6B3726" w:rsidRDefault="0054569C" w:rsidP="006B3726">
      <w:pPr>
        <w:ind w:left="5670"/>
        <w:jc w:val="center"/>
      </w:pPr>
      <w:r>
        <w:t>от «21» ноября 2025 г. № 508</w:t>
      </w:r>
    </w:p>
    <w:p w:rsidR="001B2474" w:rsidRPr="007B4B0B" w:rsidRDefault="001B2474" w:rsidP="001B2474">
      <w:pPr>
        <w:pStyle w:val="afffffffff5"/>
      </w:pPr>
    </w:p>
    <w:p w:rsidR="003256EB" w:rsidRPr="007B4B0B" w:rsidRDefault="003256EB" w:rsidP="003256EB">
      <w:pPr>
        <w:shd w:val="clear" w:color="auto" w:fill="FFFFFF"/>
        <w:spacing w:before="60" w:after="60"/>
        <w:ind w:right="20"/>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101</w:t>
      </w:r>
      <w:r w:rsidRPr="007B4B0B">
        <w:rPr>
          <w:b/>
          <w:color w:val="000000"/>
          <w:szCs w:val="22"/>
        </w:rPr>
        <w:t xml:space="preserve">. </w:t>
      </w:r>
      <w:r w:rsidRPr="007B4B0B">
        <w:rPr>
          <w:rFonts w:eastAsia="Calibri"/>
          <w:b/>
          <w:color w:val="000000"/>
          <w:lang w:eastAsia="en-US"/>
        </w:rPr>
        <w:t xml:space="preserve">Форма карточки эксплуатирующей организации участка содержания </w:t>
      </w:r>
      <w:r w:rsidR="00385D51">
        <w:rPr>
          <w:rFonts w:eastAsia="Calibri"/>
          <w:b/>
          <w:color w:val="000000"/>
          <w:lang w:eastAsia="en-US"/>
        </w:rPr>
        <w:t>линий наружного освещения</w:t>
      </w:r>
      <w:r w:rsidRPr="007B4B0B">
        <w:rPr>
          <w:rFonts w:eastAsia="Calibri"/>
          <w:b/>
          <w:color w:val="000000"/>
          <w:lang w:eastAsia="en-US"/>
        </w:rPr>
        <w:t xml:space="preserve"> участка освещения</w:t>
      </w:r>
      <w:r w:rsidR="00B53AA1" w:rsidRPr="005E7F0D">
        <w:rPr>
          <w:b/>
          <w:color w:val="000000"/>
          <w:szCs w:val="22"/>
        </w:rPr>
        <w:t xml:space="preserve"> </w:t>
      </w:r>
      <w:r w:rsidR="00B53AA1" w:rsidRPr="005E7F0D">
        <w:rPr>
          <w:b/>
        </w:rPr>
        <w:t>(для договоров на содержание)</w:t>
      </w:r>
    </w:p>
    <w:p w:rsidR="003256EB" w:rsidRPr="007B4B0B" w:rsidRDefault="003256EB" w:rsidP="003256EB">
      <w:pPr>
        <w:widowControl w:val="0"/>
        <w:autoSpaceDE w:val="0"/>
        <w:autoSpaceDN w:val="0"/>
        <w:rPr>
          <w:sz w:val="22"/>
          <w:szCs w:val="22"/>
          <w:lang w:bidi="ru-RU"/>
        </w:rPr>
      </w:pPr>
    </w:p>
    <w:tbl>
      <w:tblPr>
        <w:tblW w:w="5000" w:type="pct"/>
        <w:tblLook w:val="04A0" w:firstRow="1" w:lastRow="0" w:firstColumn="1" w:lastColumn="0" w:noHBand="0" w:noVBand="1"/>
      </w:tblPr>
      <w:tblGrid>
        <w:gridCol w:w="2090"/>
        <w:gridCol w:w="5363"/>
        <w:gridCol w:w="2232"/>
      </w:tblGrid>
      <w:tr w:rsidR="003256EB" w:rsidRPr="007B4B0B" w:rsidTr="003256EB">
        <w:trPr>
          <w:trHeight w:val="70"/>
        </w:trPr>
        <w:tc>
          <w:tcPr>
            <w:tcW w:w="102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3256EB" w:rsidRPr="007B4B0B" w:rsidRDefault="003256EB" w:rsidP="003256EB">
            <w:pPr>
              <w:widowControl w:val="0"/>
              <w:autoSpaceDE w:val="0"/>
              <w:autoSpaceDN w:val="0"/>
              <w:rPr>
                <w:lang w:bidi="ru-RU"/>
              </w:rPr>
            </w:pPr>
            <w:r w:rsidRPr="007B4B0B">
              <w:rPr>
                <w:lang w:bidi="ru-RU"/>
              </w:rPr>
              <w:t>Документация по эксплуатирующей организации</w:t>
            </w:r>
          </w:p>
        </w:tc>
        <w:tc>
          <w:tcPr>
            <w:tcW w:w="2796" w:type="pct"/>
            <w:tcBorders>
              <w:top w:val="single" w:sz="4" w:space="0" w:color="auto"/>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Наименование организации, адрес нахождения базы</w:t>
            </w:r>
          </w:p>
        </w:tc>
        <w:tc>
          <w:tcPr>
            <w:tcW w:w="1179" w:type="pct"/>
            <w:tcBorders>
              <w:top w:val="single" w:sz="4" w:space="0" w:color="auto"/>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Контактные телефон дежурного, диспетчера</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Участок обслуживания/расположение базы</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количество эксплуатируемого оборудования</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длина ЛЭП (ВЛ 10 кВ/КЛ 10 кВ/ВЛ 0,4 кВ/КЛ 0,4 кВ) в пм</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xml:space="preserve">количество ТП/трансформаторов/ЩУНО </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количество опор/светильников (из них LED)</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Персонал обслуживания</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постоянный состав: кол-во бригад/состав (человек)/группа по э/б, квалификация</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аварийная бригада: кол-во бригад/состав (человек)/квалификация</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hideMark/>
          </w:tcPr>
          <w:p w:rsidR="003256EB" w:rsidRPr="007B4B0B" w:rsidRDefault="003256EB" w:rsidP="003256EB">
            <w:pPr>
              <w:widowControl w:val="0"/>
              <w:autoSpaceDE w:val="0"/>
              <w:autoSpaceDN w:val="0"/>
              <w:rPr>
                <w:lang w:bidi="ru-RU"/>
              </w:rPr>
            </w:pPr>
            <w:r w:rsidRPr="007B4B0B">
              <w:rPr>
                <w:lang w:bidi="ru-RU"/>
              </w:rPr>
              <w:t>Аварийный запас материалов на участке базирования</w:t>
            </w:r>
          </w:p>
        </w:tc>
        <w:tc>
          <w:tcPr>
            <w:tcW w:w="1179" w:type="pct"/>
            <w:tcBorders>
              <w:top w:val="nil"/>
              <w:left w:val="nil"/>
              <w:bottom w:val="single" w:sz="4" w:space="0" w:color="auto"/>
              <w:right w:val="single" w:sz="4" w:space="0" w:color="auto"/>
            </w:tcBorders>
            <w:shd w:val="clear" w:color="auto" w:fill="auto"/>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405"/>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Техника для перевозки персонала/производства работ</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для постоянного состава</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в распоряжении аварийной бригады</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r w:rsidR="003256EB" w:rsidRPr="007B4B0B" w:rsidTr="003256EB">
        <w:trPr>
          <w:trHeight w:val="70"/>
        </w:trPr>
        <w:tc>
          <w:tcPr>
            <w:tcW w:w="1025" w:type="pct"/>
            <w:vMerge/>
            <w:tcBorders>
              <w:top w:val="single" w:sz="4" w:space="0" w:color="auto"/>
              <w:left w:val="single" w:sz="4" w:space="0" w:color="auto"/>
              <w:bottom w:val="single" w:sz="4" w:space="0" w:color="auto"/>
              <w:right w:val="single" w:sz="4" w:space="0" w:color="auto"/>
            </w:tcBorders>
            <w:vAlign w:val="center"/>
            <w:hideMark/>
          </w:tcPr>
          <w:p w:rsidR="003256EB" w:rsidRPr="007B4B0B" w:rsidRDefault="003256EB" w:rsidP="003256EB">
            <w:pPr>
              <w:widowControl w:val="0"/>
              <w:autoSpaceDE w:val="0"/>
              <w:autoSpaceDN w:val="0"/>
              <w:rPr>
                <w:lang w:bidi="ru-RU"/>
              </w:rPr>
            </w:pPr>
          </w:p>
        </w:tc>
        <w:tc>
          <w:tcPr>
            <w:tcW w:w="2796"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оперативно мобилизуемая для оперативной ликвидации крупных повреждений</w:t>
            </w:r>
          </w:p>
        </w:tc>
        <w:tc>
          <w:tcPr>
            <w:tcW w:w="1179" w:type="pct"/>
            <w:tcBorders>
              <w:top w:val="nil"/>
              <w:left w:val="nil"/>
              <w:bottom w:val="single" w:sz="4" w:space="0" w:color="auto"/>
              <w:right w:val="single" w:sz="4" w:space="0" w:color="auto"/>
            </w:tcBorders>
            <w:shd w:val="clear" w:color="auto" w:fill="auto"/>
            <w:vAlign w:val="bottom"/>
            <w:hideMark/>
          </w:tcPr>
          <w:p w:rsidR="003256EB" w:rsidRPr="007B4B0B" w:rsidRDefault="003256EB" w:rsidP="003256EB">
            <w:pPr>
              <w:widowControl w:val="0"/>
              <w:autoSpaceDE w:val="0"/>
              <w:autoSpaceDN w:val="0"/>
              <w:rPr>
                <w:lang w:bidi="ru-RU"/>
              </w:rPr>
            </w:pPr>
            <w:r w:rsidRPr="007B4B0B">
              <w:rPr>
                <w:lang w:bidi="ru-RU"/>
              </w:rPr>
              <w:t> </w:t>
            </w:r>
          </w:p>
        </w:tc>
      </w:tr>
    </w:tbl>
    <w:p w:rsidR="003256EB" w:rsidRPr="007B4B0B" w:rsidRDefault="003256EB" w:rsidP="003256EB">
      <w:pPr>
        <w:widowControl w:val="0"/>
        <w:autoSpaceDE w:val="0"/>
        <w:autoSpaceDN w:val="0"/>
        <w:rPr>
          <w:sz w:val="22"/>
          <w:szCs w:val="22"/>
          <w:lang w:bidi="ru-RU"/>
        </w:rPr>
      </w:pPr>
      <w:bookmarkStart w:id="1" w:name="_GoBack"/>
      <w:bookmarkEnd w:id="0"/>
      <w:bookmarkEnd w:id="1"/>
    </w:p>
    <w:sectPr w:rsidR="003256EB" w:rsidRPr="007B4B0B" w:rsidSect="00124B46">
      <w:footerReference w:type="default" r:id="rId8"/>
      <w:type w:val="nextColumn"/>
      <w:pgSz w:w="11906" w:h="16838"/>
      <w:pgMar w:top="1134" w:right="510"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F26" w:rsidRDefault="00111F26" w:rsidP="00520FE2">
      <w:r>
        <w:separator/>
      </w:r>
    </w:p>
  </w:endnote>
  <w:endnote w:type="continuationSeparator" w:id="0">
    <w:p w:rsidR="00111F26" w:rsidRDefault="00111F2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F26" w:rsidRDefault="00111F26" w:rsidP="00520FE2">
      <w:r>
        <w:separator/>
      </w:r>
    </w:p>
  </w:footnote>
  <w:footnote w:type="continuationSeparator" w:id="0">
    <w:p w:rsidR="00111F26" w:rsidRDefault="00111F2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1F26"/>
    <w:rsid w:val="00112A72"/>
    <w:rsid w:val="00113FFD"/>
    <w:rsid w:val="001148A2"/>
    <w:rsid w:val="001150E7"/>
    <w:rsid w:val="00123691"/>
    <w:rsid w:val="00124B46"/>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6BD2"/>
    <w:rsid w:val="007F747F"/>
    <w:rsid w:val="00801869"/>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B4C0-7051-4B2E-A2CB-03F87480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2025-11-24T15:18:00Z</dcterms:created>
  <dcterms:modified xsi:type="dcterms:W3CDTF">2025-11-24T15:18:00Z</dcterms:modified>
</cp:coreProperties>
</file>