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2"/>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C80DC4" w:rsidRPr="007B4B0B" w:rsidRDefault="00C80DC4" w:rsidP="00C80DC4">
      <w:pPr>
        <w:pStyle w:val="100"/>
        <w:spacing w:before="0" w:after="0" w:line="240" w:lineRule="auto"/>
        <w:ind w:right="0"/>
      </w:pPr>
      <w:r w:rsidRPr="007B4B0B">
        <w:t xml:space="preserve">Типовое приложение № </w:t>
      </w:r>
      <w:r w:rsidR="007E746E" w:rsidRPr="007B4B0B">
        <w:t>4</w:t>
      </w:r>
      <w:r w:rsidR="000624CA" w:rsidRPr="007B4B0B">
        <w:t>5</w:t>
      </w:r>
      <w:r w:rsidRPr="007B4B0B">
        <w:t>. Форма гарантийного паспорта на объект</w:t>
      </w:r>
      <w:r w:rsidR="00A31581" w:rsidRPr="007B4B0B">
        <w:t xml:space="preserve"> ремонта</w:t>
      </w:r>
      <w:bookmarkEnd w:id="0"/>
    </w:p>
    <w:p w:rsidR="00C80DC4" w:rsidRPr="007B4B0B" w:rsidRDefault="00C80DC4" w:rsidP="00217D16"/>
    <w:p w:rsidR="00C80DC4" w:rsidRPr="007B4B0B" w:rsidRDefault="00C80DC4" w:rsidP="00C80DC4">
      <w:pPr>
        <w:spacing w:line="276" w:lineRule="auto"/>
        <w:jc w:val="center"/>
      </w:pPr>
      <w:r w:rsidRPr="007B4B0B">
        <w:rPr>
          <w:b/>
          <w:color w:val="000000"/>
        </w:rPr>
        <w:t>Государственная компания «Российские автомобильные дороги»</w:t>
      </w:r>
    </w:p>
    <w:p w:rsidR="00C80DC4" w:rsidRPr="007B4B0B" w:rsidRDefault="00C80DC4" w:rsidP="00C80DC4">
      <w:pPr>
        <w:spacing w:line="276" w:lineRule="auto"/>
        <w:jc w:val="center"/>
      </w:pPr>
      <w:r w:rsidRPr="007B4B0B">
        <w:rPr>
          <w:b/>
          <w:color w:val="000000"/>
        </w:rPr>
        <w:t>(АВТОДОР)</w:t>
      </w: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pPr>
    </w:p>
    <w:p w:rsidR="00C80DC4" w:rsidRPr="007B4B0B" w:rsidRDefault="00C80DC4" w:rsidP="00C80DC4">
      <w:pPr>
        <w:spacing w:line="276" w:lineRule="auto"/>
        <w:jc w:val="center"/>
      </w:pPr>
      <w:r w:rsidRPr="007B4B0B">
        <w:rPr>
          <w:b/>
          <w:color w:val="000000"/>
          <w:sz w:val="28"/>
        </w:rPr>
        <w:t>ГАРАНТИЙНЫЙ ПАСПОРТ</w:t>
      </w:r>
    </w:p>
    <w:p w:rsidR="00C80DC4" w:rsidRPr="007B4B0B" w:rsidRDefault="00C80DC4" w:rsidP="00C80DC4">
      <w:pPr>
        <w:spacing w:line="276" w:lineRule="auto"/>
        <w:jc w:val="center"/>
        <w:rPr>
          <w:b/>
          <w:color w:val="000000"/>
          <w:sz w:val="28"/>
        </w:rPr>
      </w:pPr>
      <w:r w:rsidRPr="007B4B0B">
        <w:rPr>
          <w:b/>
          <w:color w:val="000000"/>
          <w:sz w:val="28"/>
        </w:rPr>
        <w:t>НА ОБЪЕКТ</w:t>
      </w:r>
    </w:p>
    <w:p w:rsidR="00C80DC4" w:rsidRPr="007B4B0B" w:rsidRDefault="00C80DC4" w:rsidP="00C80DC4">
      <w:pPr>
        <w:spacing w:line="276" w:lineRule="auto"/>
      </w:pPr>
    </w:p>
    <w:p w:rsidR="00C80DC4" w:rsidRPr="007B4B0B" w:rsidRDefault="00C80DC4" w:rsidP="00C80DC4">
      <w:pPr>
        <w:jc w:val="center"/>
      </w:pPr>
      <w:r w:rsidRPr="007B4B0B">
        <w:t>___________________________</w:t>
      </w:r>
    </w:p>
    <w:p w:rsidR="00C80DC4" w:rsidRPr="007B4B0B" w:rsidRDefault="00C80DC4" w:rsidP="00C80DC4">
      <w:pPr>
        <w:spacing w:line="276" w:lineRule="auto"/>
        <w:jc w:val="center"/>
      </w:pPr>
      <w:r w:rsidRPr="007B4B0B">
        <w:t>(название договора)</w:t>
      </w: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C80DC4">
      <w:pPr>
        <w:spacing w:after="200" w:line="276" w:lineRule="auto"/>
      </w:pPr>
    </w:p>
    <w:p w:rsidR="00C80DC4" w:rsidRPr="007B4B0B" w:rsidRDefault="00C80DC4" w:rsidP="00340907">
      <w:pPr>
        <w:spacing w:after="200" w:line="276" w:lineRule="auto"/>
        <w:jc w:val="center"/>
      </w:pPr>
      <w:r w:rsidRPr="007B4B0B">
        <w:rPr>
          <w:b/>
        </w:rPr>
        <w:t>20___ год</w:t>
      </w:r>
      <w:r w:rsidRPr="007B4B0B">
        <w:rPr>
          <w:b/>
        </w:rPr>
        <w:br w:type="page"/>
      </w:r>
    </w:p>
    <w:p w:rsidR="00340907" w:rsidRPr="007B4B0B" w:rsidRDefault="00340907" w:rsidP="00340907">
      <w:pPr>
        <w:pStyle w:val="MsoBodyText0"/>
        <w:spacing w:after="0"/>
        <w:contextualSpacing/>
        <w:rPr>
          <w:b/>
          <w:color w:val="000000"/>
          <w:u w:val="single"/>
        </w:rPr>
      </w:pPr>
      <w:r w:rsidRPr="007B4B0B">
        <w:rPr>
          <w:b/>
          <w:color w:val="000000"/>
          <w:u w:val="single"/>
        </w:rPr>
        <w:lastRenderedPageBreak/>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p>
    <w:p w:rsidR="00C80DC4" w:rsidRPr="007B4B0B" w:rsidRDefault="00C80DC4" w:rsidP="00340907">
      <w:pPr>
        <w:pStyle w:val="MsoBodyText20"/>
        <w:spacing w:after="0" w:line="240" w:lineRule="auto"/>
        <w:contextualSpacing/>
        <w:jc w:val="center"/>
        <w:rPr>
          <w:i/>
          <w:sz w:val="20"/>
        </w:rPr>
      </w:pPr>
      <w:r w:rsidRPr="007B4B0B">
        <w:rPr>
          <w:i/>
          <w:sz w:val="20"/>
        </w:rPr>
        <w:t xml:space="preserve">(полное наименование подрядной </w:t>
      </w:r>
      <w:r w:rsidR="00A52C28" w:rsidRPr="007B4B0B">
        <w:rPr>
          <w:i/>
          <w:sz w:val="20"/>
        </w:rPr>
        <w:t xml:space="preserve">и (при наличии) субподрядной </w:t>
      </w:r>
      <w:r w:rsidRPr="007B4B0B">
        <w:rPr>
          <w:i/>
          <w:sz w:val="20"/>
        </w:rPr>
        <w:t>организации, юридический адрес, ИНН)</w:t>
      </w:r>
    </w:p>
    <w:p w:rsidR="00A52C28" w:rsidRPr="007B4B0B" w:rsidRDefault="00A52C28" w:rsidP="00340907">
      <w:pPr>
        <w:contextualSpacing/>
        <w:jc w:val="both"/>
      </w:pPr>
    </w:p>
    <w:p w:rsidR="00340907" w:rsidRPr="007B4B0B" w:rsidRDefault="00C80DC4" w:rsidP="00340907">
      <w:pPr>
        <w:pStyle w:val="MsoBodyText0"/>
        <w:spacing w:after="0"/>
        <w:contextualSpacing/>
        <w:rPr>
          <w:b/>
          <w:color w:val="000000"/>
          <w:u w:val="single"/>
        </w:rPr>
      </w:pPr>
      <w:r w:rsidRPr="007B4B0B">
        <w:rPr>
          <w:color w:val="000000"/>
        </w:rPr>
        <w:t xml:space="preserve">Объект </w:t>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p>
    <w:p w:rsidR="00C80DC4" w:rsidRPr="007B4B0B" w:rsidRDefault="00C80DC4" w:rsidP="00340907">
      <w:pPr>
        <w:pStyle w:val="MsoBodyText20"/>
        <w:spacing w:after="0" w:line="240" w:lineRule="auto"/>
        <w:contextualSpacing/>
        <w:jc w:val="center"/>
        <w:rPr>
          <w:i/>
          <w:sz w:val="20"/>
        </w:rPr>
      </w:pPr>
      <w:r w:rsidRPr="007B4B0B">
        <w:rPr>
          <w:i/>
          <w:sz w:val="20"/>
        </w:rPr>
        <w:t xml:space="preserve">(полное наименование </w:t>
      </w:r>
      <w:r w:rsidR="00FD0BD2" w:rsidRPr="007B4B0B">
        <w:rPr>
          <w:i/>
          <w:sz w:val="20"/>
        </w:rPr>
        <w:t>Объекта</w:t>
      </w:r>
      <w:r w:rsidRPr="007B4B0B">
        <w:rPr>
          <w:i/>
          <w:sz w:val="20"/>
        </w:rPr>
        <w:t>, адрес пускового комплекса)</w:t>
      </w:r>
    </w:p>
    <w:p w:rsidR="00340907" w:rsidRPr="007B4B0B" w:rsidRDefault="00340907" w:rsidP="00BA6B2E">
      <w:pPr>
        <w:pStyle w:val="MsoBodyText20"/>
        <w:spacing w:after="0" w:line="240" w:lineRule="auto"/>
        <w:contextualSpacing/>
        <w:rPr>
          <w:i/>
          <w:sz w:val="20"/>
        </w:rPr>
      </w:pPr>
    </w:p>
    <w:p w:rsidR="00340907" w:rsidRPr="007B4B0B" w:rsidRDefault="00C80DC4" w:rsidP="00340907">
      <w:pPr>
        <w:contextualSpacing/>
        <w:jc w:val="both"/>
        <w:rPr>
          <w:color w:val="000000"/>
        </w:rPr>
      </w:pPr>
      <w:r w:rsidRPr="007B4B0B">
        <w:rPr>
          <w:color w:val="000000"/>
        </w:rPr>
        <w:t xml:space="preserve">Договор № </w:t>
      </w:r>
      <w:r w:rsidR="00340907" w:rsidRPr="007B4B0B">
        <w:rPr>
          <w:color w:val="000000"/>
          <w:u w:val="single"/>
        </w:rPr>
        <w:tab/>
      </w:r>
      <w:r w:rsidR="00340907" w:rsidRPr="007B4B0B">
        <w:rPr>
          <w:color w:val="000000"/>
          <w:u w:val="single"/>
        </w:rPr>
        <w:tab/>
      </w:r>
      <w:r w:rsidR="00340907" w:rsidRPr="007B4B0B">
        <w:rPr>
          <w:color w:val="000000"/>
          <w:u w:val="single"/>
        </w:rPr>
        <w:tab/>
      </w:r>
      <w:r w:rsidR="00340907" w:rsidRPr="007B4B0B">
        <w:rPr>
          <w:color w:val="000000"/>
          <w:u w:val="single"/>
        </w:rPr>
        <w:tab/>
      </w:r>
      <w:r w:rsidRPr="007B4B0B">
        <w:rPr>
          <w:color w:val="000000"/>
        </w:rPr>
        <w:t xml:space="preserve"> от </w:t>
      </w:r>
      <w:r w:rsidR="00340907" w:rsidRPr="007B4B0B">
        <w:rPr>
          <w:color w:val="000000"/>
          <w:u w:val="single"/>
        </w:rPr>
        <w:tab/>
      </w:r>
      <w:r w:rsidR="00340907" w:rsidRPr="007B4B0B">
        <w:rPr>
          <w:color w:val="000000"/>
          <w:u w:val="single"/>
        </w:rPr>
        <w:tab/>
      </w:r>
      <w:r w:rsidR="00340907" w:rsidRPr="007B4B0B">
        <w:rPr>
          <w:color w:val="000000"/>
          <w:u w:val="single"/>
        </w:rPr>
        <w:tab/>
      </w:r>
      <w:r w:rsidR="00340907" w:rsidRPr="007B4B0B">
        <w:rPr>
          <w:color w:val="000000"/>
          <w:u w:val="single"/>
        </w:rPr>
        <w:tab/>
      </w:r>
    </w:p>
    <w:p w:rsidR="00C80DC4" w:rsidRPr="007B4B0B" w:rsidRDefault="00C80DC4" w:rsidP="00340907">
      <w:pPr>
        <w:pStyle w:val="MsoBodyText20"/>
        <w:spacing w:after="0" w:line="240" w:lineRule="auto"/>
        <w:contextualSpacing/>
        <w:jc w:val="center"/>
        <w:rPr>
          <w:i/>
          <w:sz w:val="20"/>
        </w:rPr>
      </w:pPr>
      <w:r w:rsidRPr="007B4B0B">
        <w:rPr>
          <w:i/>
          <w:sz w:val="20"/>
        </w:rPr>
        <w:t>(№ договора, на основании которого данная организация выполняла работы)</w:t>
      </w:r>
    </w:p>
    <w:p w:rsidR="00340907" w:rsidRPr="007B4B0B" w:rsidRDefault="00C80DC4" w:rsidP="00340907">
      <w:pPr>
        <w:contextualSpacing/>
        <w:jc w:val="both"/>
        <w:rPr>
          <w:b/>
          <w:color w:val="000000"/>
          <w:u w:val="single"/>
        </w:rPr>
      </w:pPr>
      <w:r w:rsidRPr="007B4B0B">
        <w:rPr>
          <w:color w:val="000000"/>
        </w:rPr>
        <w:t>принят в эксплуатацию  в результате совместного осмотра</w:t>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p>
    <w:p w:rsidR="00C80DC4" w:rsidRPr="007B4B0B" w:rsidRDefault="00C80DC4" w:rsidP="00BA6B2E">
      <w:pPr>
        <w:pStyle w:val="MsoBodyText20"/>
        <w:spacing w:after="0" w:line="240" w:lineRule="auto"/>
        <w:ind w:firstLine="5670"/>
        <w:contextualSpacing/>
        <w:jc w:val="center"/>
        <w:rPr>
          <w:i/>
          <w:sz w:val="20"/>
        </w:rPr>
      </w:pPr>
      <w:r w:rsidRPr="007B4B0B">
        <w:rPr>
          <w:i/>
          <w:sz w:val="20"/>
        </w:rPr>
        <w:t>(дата приемки, число, месяц, год)</w:t>
      </w:r>
    </w:p>
    <w:p w:rsidR="00BA6B2E" w:rsidRPr="007B4B0B" w:rsidRDefault="00BA6B2E" w:rsidP="00340907">
      <w:pPr>
        <w:pStyle w:val="MsoBodyText0"/>
        <w:spacing w:after="0"/>
        <w:contextualSpacing/>
        <w:rPr>
          <w:color w:val="000000"/>
        </w:rPr>
      </w:pPr>
    </w:p>
    <w:p w:rsidR="00340907" w:rsidRPr="007B4B0B" w:rsidRDefault="00C80DC4" w:rsidP="00340907">
      <w:pPr>
        <w:pStyle w:val="MsoBodyText0"/>
        <w:spacing w:after="0"/>
        <w:contextualSpacing/>
        <w:rPr>
          <w:b/>
          <w:color w:val="000000"/>
          <w:u w:val="single"/>
        </w:rPr>
      </w:pPr>
      <w:r w:rsidRPr="007B4B0B">
        <w:rPr>
          <w:color w:val="000000"/>
        </w:rPr>
        <w:t>Работы выполнены</w:t>
      </w:r>
      <w:r w:rsidR="00A52C28" w:rsidRPr="007B4B0B">
        <w:rPr>
          <w:color w:val="000000"/>
        </w:rPr>
        <w:t xml:space="preserve"> в соответствии с</w:t>
      </w:r>
      <w:r w:rsidRPr="007B4B0B">
        <w:rPr>
          <w:color w:val="000000"/>
        </w:rPr>
        <w:t xml:space="preserve"> проект</w:t>
      </w:r>
      <w:r w:rsidR="00A52C28" w:rsidRPr="007B4B0B">
        <w:rPr>
          <w:color w:val="000000"/>
        </w:rPr>
        <w:t>ом производства работ, разработанным</w:t>
      </w:r>
      <w:r w:rsidR="00340907" w:rsidRPr="007B4B0B">
        <w:rPr>
          <w:color w:val="000000"/>
        </w:rPr>
        <w:t xml:space="preserve"> </w:t>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p>
    <w:p w:rsidR="00C80DC4" w:rsidRPr="007B4B0B" w:rsidRDefault="00340907" w:rsidP="00340907">
      <w:pPr>
        <w:pStyle w:val="MsoBodyText20"/>
        <w:spacing w:after="0" w:line="240" w:lineRule="auto"/>
        <w:contextualSpacing/>
        <w:jc w:val="center"/>
        <w:rPr>
          <w:i/>
          <w:sz w:val="20"/>
        </w:rPr>
      </w:pPr>
      <w:r w:rsidRPr="007B4B0B">
        <w:rPr>
          <w:i/>
          <w:sz w:val="20"/>
        </w:rPr>
        <w:t xml:space="preserve"> </w:t>
      </w:r>
      <w:r w:rsidR="00C80DC4" w:rsidRPr="007B4B0B">
        <w:rPr>
          <w:i/>
          <w:sz w:val="20"/>
        </w:rPr>
        <w:t>(полное наименование проектной организации, юридический адрес, ИНН)</w:t>
      </w:r>
    </w:p>
    <w:p w:rsidR="00C80DC4" w:rsidRPr="007B4B0B" w:rsidRDefault="00C80DC4" w:rsidP="00340907">
      <w:pPr>
        <w:contextualSpacing/>
        <w:jc w:val="both"/>
      </w:pPr>
    </w:p>
    <w:p w:rsidR="00340907" w:rsidRPr="007B4B0B" w:rsidRDefault="00C80DC4" w:rsidP="00340907">
      <w:pPr>
        <w:pStyle w:val="MsoBodyText0"/>
        <w:spacing w:after="0"/>
        <w:contextualSpacing/>
        <w:rPr>
          <w:b/>
          <w:color w:val="000000"/>
          <w:u w:val="single"/>
        </w:rPr>
      </w:pPr>
      <w:r w:rsidRPr="007B4B0B">
        <w:rPr>
          <w:color w:val="000000"/>
        </w:rPr>
        <w:t>Инженерное сопровождение проекта</w:t>
      </w:r>
      <w:r w:rsidR="00340907" w:rsidRPr="007B4B0B">
        <w:rPr>
          <w:color w:val="000000"/>
        </w:rPr>
        <w:t xml:space="preserve"> </w:t>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r w:rsidR="00340907" w:rsidRPr="007B4B0B">
        <w:rPr>
          <w:b/>
          <w:color w:val="000000"/>
          <w:u w:val="single"/>
        </w:rPr>
        <w:tab/>
      </w:r>
    </w:p>
    <w:p w:rsidR="00C80DC4" w:rsidRPr="007B4B0B" w:rsidRDefault="00C80DC4" w:rsidP="00340907">
      <w:pPr>
        <w:contextualSpacing/>
        <w:jc w:val="center"/>
        <w:rPr>
          <w:sz w:val="20"/>
        </w:rPr>
      </w:pPr>
      <w:r w:rsidRPr="007B4B0B">
        <w:rPr>
          <w:i/>
          <w:color w:val="000000"/>
          <w:sz w:val="20"/>
          <w:szCs w:val="20"/>
        </w:rPr>
        <w:t>(полное наименование организации, осуществляющей инженерное сопровождение, юридический адрес, ИНН</w:t>
      </w:r>
      <w:r w:rsidR="00340907" w:rsidRPr="007B4B0B">
        <w:rPr>
          <w:i/>
          <w:color w:val="000000"/>
          <w:sz w:val="20"/>
          <w:szCs w:val="20"/>
        </w:rPr>
        <w:t>)</w:t>
      </w:r>
    </w:p>
    <w:p w:rsidR="00C80DC4" w:rsidRPr="007B4B0B" w:rsidRDefault="00C80DC4" w:rsidP="00C80DC4">
      <w:pPr>
        <w:spacing w:line="276" w:lineRule="auto"/>
        <w:jc w:val="center"/>
      </w:pPr>
      <w:r w:rsidRPr="007B4B0B">
        <w:rPr>
          <w:b/>
          <w:color w:val="000000"/>
        </w:rPr>
        <w:t>ХАРАКТЕРИСТИКА</w:t>
      </w:r>
    </w:p>
    <w:p w:rsidR="00C80DC4" w:rsidRPr="007B4B0B" w:rsidRDefault="00C80DC4" w:rsidP="00C80DC4">
      <w:pPr>
        <w:spacing w:line="276" w:lineRule="auto"/>
        <w:jc w:val="center"/>
      </w:pPr>
      <w:r w:rsidRPr="007B4B0B">
        <w:rPr>
          <w:b/>
          <w:color w:val="000000"/>
        </w:rPr>
        <w:t xml:space="preserve">принятого в эксплуатацию </w:t>
      </w:r>
      <w:r w:rsidR="00FD0BD2" w:rsidRPr="007B4B0B">
        <w:rPr>
          <w:b/>
          <w:color w:val="000000"/>
        </w:rPr>
        <w:t>Объекта</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885"/>
        <w:gridCol w:w="2800"/>
      </w:tblGrid>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ind w:left="142"/>
            </w:pPr>
            <w:r w:rsidRPr="007B4B0B">
              <w:t xml:space="preserve">Категория дороги </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136"/>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Число полос движения</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Длина сооружения,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Схема сооружения,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Габарит сооружения,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Расчетные нагрузки</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Тип покрытия (верхний слой)</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Ограждение проезжей части (тип, высота),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r w:rsidR="00C80DC4" w:rsidRPr="007B4B0B" w:rsidTr="00340907">
        <w:trPr>
          <w:trHeight w:val="283"/>
        </w:trPr>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7F747F">
            <w:pPr>
              <w:pStyle w:val="BulletIRAO-213UseCaseListParagraphNumBullet1BulletNumberBulletListFooterTextnumberedListParagraph"/>
              <w:spacing w:after="0" w:line="240" w:lineRule="auto"/>
              <w:ind w:left="142"/>
              <w:jc w:val="both"/>
              <w:rPr>
                <w:rFonts w:ascii="Times New Roman" w:hAnsi="Times New Roman"/>
                <w:sz w:val="24"/>
                <w:szCs w:val="24"/>
              </w:rPr>
            </w:pPr>
            <w:r w:rsidRPr="007B4B0B">
              <w:rPr>
                <w:rFonts w:ascii="Times New Roman" w:hAnsi="Times New Roman"/>
                <w:sz w:val="24"/>
                <w:szCs w:val="24"/>
              </w:rPr>
              <w:t>Перила (тип, высота),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B4B0B" w:rsidRDefault="00C80DC4" w:rsidP="009C3973">
            <w:pPr>
              <w:pStyle w:val="BulletIRAO-213UseCaseListParagraphNumBullet1BulletNumberBulletListFooterTextnumberedListParagraph"/>
              <w:spacing w:after="0"/>
              <w:ind w:left="0"/>
              <w:jc w:val="both"/>
              <w:rPr>
                <w:rFonts w:ascii="Times New Roman" w:hAnsi="Times New Roman"/>
              </w:rPr>
            </w:pPr>
          </w:p>
        </w:tc>
      </w:tr>
    </w:tbl>
    <w:p w:rsidR="00C80DC4" w:rsidRPr="007B4B0B" w:rsidRDefault="00C80DC4" w:rsidP="007F747F">
      <w:pPr>
        <w:jc w:val="center"/>
      </w:pPr>
    </w:p>
    <w:p w:rsidR="00C80DC4" w:rsidRPr="007B4B0B" w:rsidRDefault="00C80DC4" w:rsidP="007F747F">
      <w:pPr>
        <w:jc w:val="center"/>
      </w:pPr>
      <w:r w:rsidRPr="007B4B0B">
        <w:rPr>
          <w:b/>
          <w:color w:val="000000"/>
        </w:rPr>
        <w:t>ГАРАНТИЙНЫЕ СРОКИ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85"/>
        <w:gridCol w:w="2268"/>
      </w:tblGrid>
      <w:tr w:rsidR="00A52C28" w:rsidRPr="007B4B0B" w:rsidTr="00340907">
        <w:trPr>
          <w:trHeight w:val="283"/>
          <w:tblHeader/>
        </w:trPr>
        <w:tc>
          <w:tcPr>
            <w:tcW w:w="5098" w:type="dxa"/>
            <w:tcMar>
              <w:top w:w="0" w:type="dxa"/>
              <w:left w:w="108" w:type="dxa"/>
              <w:bottom w:w="0" w:type="dxa"/>
              <w:right w:w="108" w:type="dxa"/>
            </w:tcMar>
          </w:tcPr>
          <w:p w:rsidR="00A52C28" w:rsidRPr="007B4B0B" w:rsidRDefault="00A52C28" w:rsidP="007F747F">
            <w:pPr>
              <w:shd w:val="clear" w:color="auto" w:fill="FFFFFF"/>
              <w:jc w:val="center"/>
            </w:pPr>
            <w:r w:rsidRPr="007B4B0B">
              <w:rPr>
                <w:b/>
                <w:shd w:val="clear" w:color="auto" w:fill="FFFFFF"/>
              </w:rPr>
              <w:t>Наименование конструктивных элементов, отремонтированных/замененных в процессе производства работ</w:t>
            </w:r>
          </w:p>
        </w:tc>
        <w:tc>
          <w:tcPr>
            <w:tcW w:w="1985" w:type="dxa"/>
            <w:tcMar>
              <w:top w:w="0" w:type="dxa"/>
              <w:left w:w="108" w:type="dxa"/>
              <w:bottom w:w="0" w:type="dxa"/>
              <w:right w:w="108" w:type="dxa"/>
            </w:tcMar>
            <w:vAlign w:val="center"/>
          </w:tcPr>
          <w:p w:rsidR="00A52C28" w:rsidRPr="007B4B0B" w:rsidRDefault="00A52C28" w:rsidP="007F747F">
            <w:pPr>
              <w:shd w:val="clear" w:color="auto" w:fill="FFFFFF"/>
              <w:jc w:val="center"/>
            </w:pPr>
            <w:r w:rsidRPr="007B4B0B">
              <w:rPr>
                <w:b/>
                <w:shd w:val="clear" w:color="auto" w:fill="FFFFFF"/>
              </w:rPr>
              <w:t>Гарантийные сроки</w:t>
            </w:r>
          </w:p>
        </w:tc>
        <w:tc>
          <w:tcPr>
            <w:tcW w:w="2268" w:type="dxa"/>
          </w:tcPr>
          <w:p w:rsidR="00A52C28" w:rsidRPr="007B4B0B" w:rsidRDefault="00A52C28" w:rsidP="007F747F">
            <w:pPr>
              <w:shd w:val="clear" w:color="auto" w:fill="FFFFFF"/>
              <w:jc w:val="center"/>
              <w:rPr>
                <w:b/>
                <w:shd w:val="clear" w:color="auto" w:fill="FFFFFF"/>
              </w:rPr>
            </w:pPr>
            <w:r w:rsidRPr="007B4B0B">
              <w:rPr>
                <w:b/>
                <w:shd w:val="clear" w:color="auto" w:fill="FFFFFF"/>
              </w:rPr>
              <w:t>Дата окончания гарантийного срока</w:t>
            </w:r>
          </w:p>
        </w:tc>
      </w:tr>
      <w:tr w:rsidR="00A52C28" w:rsidRPr="007B4B0B" w:rsidTr="00340907">
        <w:trPr>
          <w:trHeight w:val="283"/>
        </w:trPr>
        <w:tc>
          <w:tcPr>
            <w:tcW w:w="5098" w:type="dxa"/>
            <w:tcMar>
              <w:top w:w="0" w:type="dxa"/>
              <w:left w:w="108" w:type="dxa"/>
              <w:bottom w:w="0" w:type="dxa"/>
              <w:right w:w="108" w:type="dxa"/>
            </w:tcMar>
          </w:tcPr>
          <w:p w:rsidR="00A52C28" w:rsidRPr="007B4B0B" w:rsidRDefault="00A52C28" w:rsidP="007F747F">
            <w:pPr>
              <w:shd w:val="clear" w:color="auto" w:fill="FFFFFF"/>
            </w:pPr>
          </w:p>
        </w:tc>
        <w:tc>
          <w:tcPr>
            <w:tcW w:w="1985" w:type="dxa"/>
            <w:tcMar>
              <w:top w:w="0" w:type="dxa"/>
              <w:left w:w="108" w:type="dxa"/>
              <w:bottom w:w="0" w:type="dxa"/>
              <w:right w:w="108" w:type="dxa"/>
            </w:tcMar>
            <w:vAlign w:val="center"/>
          </w:tcPr>
          <w:p w:rsidR="00A52C28" w:rsidRPr="007B4B0B" w:rsidRDefault="00A52C28" w:rsidP="007F747F">
            <w:pPr>
              <w:shd w:val="clear" w:color="auto" w:fill="FFFFFF"/>
              <w:jc w:val="center"/>
            </w:pPr>
          </w:p>
        </w:tc>
        <w:tc>
          <w:tcPr>
            <w:tcW w:w="2268" w:type="dxa"/>
          </w:tcPr>
          <w:p w:rsidR="00A52C28" w:rsidRPr="007B4B0B" w:rsidRDefault="00A52C28" w:rsidP="007F747F">
            <w:pPr>
              <w:shd w:val="clear" w:color="auto" w:fill="FFFFFF"/>
              <w:jc w:val="center"/>
            </w:pPr>
          </w:p>
        </w:tc>
      </w:tr>
    </w:tbl>
    <w:p w:rsidR="00C80DC4" w:rsidRPr="007B4B0B" w:rsidRDefault="00C80DC4" w:rsidP="00C80DC4">
      <w:pPr>
        <w:spacing w:line="276" w:lineRule="auto"/>
        <w:jc w:val="center"/>
      </w:pPr>
    </w:p>
    <w:p w:rsidR="00340907" w:rsidRPr="007B4B0B" w:rsidRDefault="00340907" w:rsidP="00BA6B2E">
      <w:pPr>
        <w:pStyle w:val="MsoBodyText0"/>
        <w:spacing w:after="0"/>
        <w:contextualSpacing/>
        <w:rPr>
          <w:b/>
          <w:color w:val="000000"/>
          <w:u w:val="single"/>
        </w:rPr>
      </w:pP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p>
    <w:p w:rsidR="00C80DC4" w:rsidRPr="007B4B0B" w:rsidRDefault="00340907" w:rsidP="00BA6B2E">
      <w:pPr>
        <w:pStyle w:val="MsoBodyText20"/>
        <w:spacing w:after="0" w:line="240" w:lineRule="auto"/>
        <w:contextualSpacing/>
        <w:jc w:val="center"/>
        <w:rPr>
          <w:i/>
          <w:sz w:val="20"/>
        </w:rPr>
      </w:pPr>
      <w:r w:rsidRPr="007B4B0B">
        <w:rPr>
          <w:i/>
          <w:sz w:val="20"/>
        </w:rPr>
        <w:t xml:space="preserve"> </w:t>
      </w:r>
      <w:r w:rsidR="00C80DC4" w:rsidRPr="007B4B0B">
        <w:rPr>
          <w:i/>
          <w:sz w:val="20"/>
        </w:rPr>
        <w:t>(полное наименование подрядной организации)</w:t>
      </w:r>
    </w:p>
    <w:p w:rsidR="00C80DC4" w:rsidRPr="007B4B0B" w:rsidRDefault="00C80DC4" w:rsidP="00BA6B2E">
      <w:pPr>
        <w:contextualSpacing/>
        <w:jc w:val="center"/>
        <w:rPr>
          <w:color w:val="000000"/>
          <w:sz w:val="20"/>
        </w:rPr>
      </w:pPr>
    </w:p>
    <w:p w:rsidR="00C80DC4" w:rsidRPr="007B4B0B" w:rsidRDefault="00C80DC4" w:rsidP="00BA6B2E">
      <w:pPr>
        <w:contextualSpacing/>
        <w:jc w:val="both"/>
      </w:pPr>
      <w:r w:rsidRPr="007B4B0B">
        <w:rPr>
          <w:color w:val="000000"/>
        </w:rPr>
        <w:t xml:space="preserve">принимает на себя обязательства устранять дефекты, возникшие в течение гарантийных сроков. </w:t>
      </w:r>
    </w:p>
    <w:p w:rsidR="00C80DC4" w:rsidRPr="007B4B0B" w:rsidRDefault="00C80DC4" w:rsidP="00BA6B2E">
      <w:pPr>
        <w:ind w:firstLine="567"/>
        <w:contextualSpacing/>
        <w:jc w:val="both"/>
      </w:pPr>
      <w:r w:rsidRPr="007B4B0B">
        <w:rPr>
          <w:color w:val="000000"/>
        </w:rPr>
        <w:t xml:space="preserve">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Договором с момента (даты) завершения работ по устранению дефекта, оформляемый соответствующим актом. Продолжительность проведения работ по устранению выявленных дефектов не засчитывается в гарантийный срок. </w:t>
      </w:r>
    </w:p>
    <w:p w:rsidR="00C80DC4" w:rsidRPr="007B4B0B" w:rsidRDefault="00C80DC4" w:rsidP="00BA6B2E">
      <w:pPr>
        <w:ind w:firstLine="567"/>
        <w:contextualSpacing/>
        <w:jc w:val="both"/>
        <w:rPr>
          <w:color w:val="000000"/>
        </w:rPr>
      </w:pPr>
      <w:r w:rsidRPr="007B4B0B">
        <w:rPr>
          <w:color w:val="000000"/>
        </w:rPr>
        <w:t>Подрядчик несет имущественную ответственность за качество и объем выполненных работ, сроки, оговоренные Договором и настоящим Гарантийным паспортом.</w:t>
      </w:r>
    </w:p>
    <w:p w:rsidR="00BA6B2E" w:rsidRPr="007B4B0B" w:rsidRDefault="00BA6B2E" w:rsidP="00BA6B2E">
      <w:pPr>
        <w:pStyle w:val="MsoBodyText0"/>
        <w:spacing w:after="0"/>
        <w:contextualSpacing/>
        <w:rPr>
          <w:b/>
          <w:color w:val="000000"/>
          <w:u w:val="single"/>
        </w:rPr>
      </w:pPr>
    </w:p>
    <w:p w:rsidR="00BA6B2E" w:rsidRPr="007B4B0B" w:rsidRDefault="00BA6B2E" w:rsidP="00BA6B2E">
      <w:pPr>
        <w:pStyle w:val="MsoBodyText0"/>
        <w:spacing w:after="0"/>
        <w:contextualSpacing/>
        <w:rPr>
          <w:b/>
          <w:color w:val="000000"/>
          <w:u w:val="single"/>
        </w:rPr>
      </w:pP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r w:rsidRPr="007B4B0B">
        <w:rPr>
          <w:b/>
          <w:color w:val="000000"/>
          <w:u w:val="single"/>
        </w:rPr>
        <w:tab/>
      </w:r>
    </w:p>
    <w:p w:rsidR="00C80DC4" w:rsidRPr="007B4B0B" w:rsidRDefault="00C80DC4" w:rsidP="00BA6B2E">
      <w:pPr>
        <w:contextualSpacing/>
        <w:jc w:val="center"/>
        <w:rPr>
          <w:color w:val="000000"/>
          <w:sz w:val="20"/>
        </w:rPr>
      </w:pPr>
      <w:r w:rsidRPr="007B4B0B">
        <w:rPr>
          <w:color w:val="000000"/>
          <w:sz w:val="20"/>
        </w:rPr>
        <w:t xml:space="preserve">(руководитель подрядной организации)     (подпись)     (Фамилия И.О.)     </w:t>
      </w:r>
      <w:r w:rsidR="001A6A97" w:rsidRPr="007B4B0B">
        <w:rPr>
          <w:color w:val="000000"/>
          <w:sz w:val="20"/>
        </w:rPr>
        <w:t>м.п.</w:t>
      </w:r>
      <w:bookmarkStart w:id="1" w:name="_GoBack"/>
      <w:bookmarkEnd w:id="1"/>
    </w:p>
    <w:sectPr w:rsidR="00C80DC4" w:rsidRPr="007B4B0B" w:rsidSect="00F55F2F">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E4" w:rsidRDefault="00A936E4" w:rsidP="00520FE2">
      <w:r>
        <w:separator/>
      </w:r>
    </w:p>
  </w:endnote>
  <w:endnote w:type="continuationSeparator" w:id="0">
    <w:p w:rsidR="00A936E4" w:rsidRDefault="00A936E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E4" w:rsidRDefault="00A936E4" w:rsidP="00520FE2">
      <w:r>
        <w:separator/>
      </w:r>
    </w:p>
  </w:footnote>
  <w:footnote w:type="continuationSeparator" w:id="0">
    <w:p w:rsidR="00A936E4" w:rsidRDefault="00A936E4"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36E4"/>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5F2F"/>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CF18-A1F7-4FB0-BDFF-2FCC105D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2025-11-24T14:09:00Z</dcterms:created>
  <dcterms:modified xsi:type="dcterms:W3CDTF">2025-11-24T14:09:00Z</dcterms:modified>
</cp:coreProperties>
</file>