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bookmarkStart w:id="0" w:name="_Toc38304346"/>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149</w:t>
      </w:r>
      <w:r w:rsidRPr="007B4B0B">
        <w:t>. Форма акта приемки оказан</w:t>
      </w:r>
      <w:r w:rsidR="00C1210E">
        <w:t>ных услуг содержания элементов наружного освещения</w:t>
      </w:r>
      <w:r w:rsidR="00F5230A" w:rsidRPr="005E7F0D">
        <w:t xml:space="preserve"> (для договоров на содержание)</w:t>
      </w:r>
    </w:p>
    <w:p w:rsidR="00F1558B" w:rsidRPr="007B4B0B" w:rsidRDefault="00F1558B" w:rsidP="00F1558B">
      <w:pPr>
        <w:tabs>
          <w:tab w:val="left" w:pos="1418"/>
        </w:tabs>
        <w:jc w:val="center"/>
      </w:pPr>
    </w:p>
    <w:p w:rsidR="00F1558B" w:rsidRPr="007B4B0B" w:rsidRDefault="00F1558B" w:rsidP="00F1558B">
      <w:pPr>
        <w:tabs>
          <w:tab w:val="left" w:pos="1418"/>
        </w:tabs>
        <w:jc w:val="center"/>
        <w:rPr>
          <w:b/>
        </w:rPr>
      </w:pPr>
      <w:r w:rsidRPr="007B4B0B">
        <w:rPr>
          <w:b/>
        </w:rPr>
        <w:t>Акт приемки оказанных услуг содержания элементов НО</w:t>
      </w:r>
    </w:p>
    <w:p w:rsidR="00F1558B" w:rsidRPr="007B4B0B" w:rsidRDefault="00F1558B" w:rsidP="00F1558B">
      <w:pPr>
        <w:tabs>
          <w:tab w:val="left" w:pos="1418"/>
        </w:tabs>
        <w:jc w:val="center"/>
        <w:rPr>
          <w:bCs/>
        </w:rPr>
      </w:pP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jc w:val="center"/>
        <w:rPr>
          <w:bCs/>
        </w:rPr>
      </w:pP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p>
    <w:p w:rsidR="00F1558B" w:rsidRPr="007B4B0B" w:rsidRDefault="00F1558B" w:rsidP="00F1558B">
      <w:pPr>
        <w:tabs>
          <w:tab w:val="left" w:pos="1418"/>
        </w:tabs>
      </w:pPr>
      <w:r w:rsidRPr="007B4B0B">
        <w:t>Заказчик:__________________________________________________________________________</w:t>
      </w:r>
    </w:p>
    <w:p w:rsidR="00F1558B" w:rsidRPr="007B4B0B" w:rsidRDefault="00F1558B" w:rsidP="00F1558B">
      <w:pPr>
        <w:tabs>
          <w:tab w:val="left" w:pos="1418"/>
        </w:tabs>
        <w:jc w:val="center"/>
        <w:rPr>
          <w:sz w:val="20"/>
          <w:szCs w:val="20"/>
        </w:rPr>
      </w:pPr>
      <w:r w:rsidRPr="007B4B0B">
        <w:rPr>
          <w:sz w:val="20"/>
          <w:szCs w:val="20"/>
        </w:rPr>
        <w:t>(ФИО, должность, документ подтверждающий полномочия представителя)</w:t>
      </w:r>
    </w:p>
    <w:p w:rsidR="00F1558B" w:rsidRPr="007B4B0B" w:rsidRDefault="00F1558B" w:rsidP="00F1558B">
      <w:pPr>
        <w:tabs>
          <w:tab w:val="left" w:pos="1418"/>
        </w:tabs>
      </w:pPr>
    </w:p>
    <w:p w:rsidR="00F1558B" w:rsidRPr="007B4B0B" w:rsidRDefault="00F1558B" w:rsidP="00F1558B">
      <w:pPr>
        <w:tabs>
          <w:tab w:val="left" w:pos="1418"/>
        </w:tabs>
      </w:pPr>
      <w:r w:rsidRPr="007B4B0B">
        <w:t>Подрядчик:________________________________________________________________________</w:t>
      </w:r>
    </w:p>
    <w:p w:rsidR="00F1558B" w:rsidRPr="007B4B0B" w:rsidRDefault="00F1558B" w:rsidP="00F1558B">
      <w:pPr>
        <w:tabs>
          <w:tab w:val="left" w:pos="1418"/>
        </w:tabs>
        <w:jc w:val="center"/>
      </w:pPr>
      <w:r w:rsidRPr="007B4B0B">
        <w:rPr>
          <w:sz w:val="20"/>
          <w:szCs w:val="20"/>
        </w:rPr>
        <w:t>(ФИО, должность, документ подтверждающий полномочия представителя)</w:t>
      </w:r>
    </w:p>
    <w:p w:rsidR="00F1558B" w:rsidRPr="007B4B0B" w:rsidRDefault="00F1558B" w:rsidP="00F1558B">
      <w:pPr>
        <w:tabs>
          <w:tab w:val="left" w:pos="1418"/>
        </w:tabs>
      </w:pPr>
    </w:p>
    <w:p w:rsidR="00F1558B" w:rsidRPr="007B4B0B" w:rsidRDefault="00F1558B" w:rsidP="00F1558B">
      <w:pPr>
        <w:tabs>
          <w:tab w:val="left" w:pos="1418"/>
        </w:tabs>
      </w:pPr>
      <w:r w:rsidRPr="007B4B0B">
        <w:t>Произвела приемку оказанных услуг содержания элементов НО с расчетом Снижения Стоимости по Объекту: _________________________________________________________________________________</w:t>
      </w:r>
    </w:p>
    <w:p w:rsidR="00F1558B" w:rsidRPr="007B4B0B" w:rsidRDefault="00F1558B" w:rsidP="00F1558B">
      <w:pPr>
        <w:tabs>
          <w:tab w:val="left" w:pos="1418"/>
        </w:tabs>
        <w:jc w:val="center"/>
        <w:rPr>
          <w:vertAlign w:val="superscript"/>
        </w:rPr>
      </w:pPr>
      <w:r w:rsidRPr="007B4B0B">
        <w:rPr>
          <w:vertAlign w:val="superscript"/>
        </w:rPr>
        <w:t>(наименование автомобильной дороги)</w:t>
      </w:r>
    </w:p>
    <w:p w:rsidR="00F1558B" w:rsidRPr="007B4B0B" w:rsidRDefault="00F1558B" w:rsidP="00F1558B">
      <w:pPr>
        <w:tabs>
          <w:tab w:val="left" w:pos="1418"/>
        </w:tabs>
        <w:jc w:val="both"/>
      </w:pPr>
      <w:r w:rsidRPr="007B4B0B">
        <w:t>на км____+____ - км____+____ (Договор от «__» _______20__г. №_________), и установила следующее:</w:t>
      </w:r>
    </w:p>
    <w:p w:rsidR="00F1558B" w:rsidRPr="007B4B0B" w:rsidRDefault="00F1558B" w:rsidP="002C4B3E">
      <w:pPr>
        <w:pStyle w:val="af6"/>
        <w:numPr>
          <w:ilvl w:val="0"/>
          <w:numId w:val="376"/>
        </w:numPr>
        <w:tabs>
          <w:tab w:val="left" w:pos="-2127"/>
          <w:tab w:val="left" w:pos="142"/>
        </w:tabs>
        <w:ind w:left="0" w:firstLine="0"/>
        <w:jc w:val="both"/>
      </w:pPr>
      <w:r w:rsidRPr="007B4B0B">
        <w:t xml:space="preserve">Всего на Объекте обследовано </w:t>
      </w:r>
      <w:r w:rsidRPr="007B4B0B">
        <w:rPr>
          <w:b/>
          <w:vertAlign w:val="subscript"/>
        </w:rPr>
        <w:t xml:space="preserve"> = </w:t>
      </w:r>
      <w:r w:rsidRPr="007B4B0B">
        <w:t xml:space="preserve">_______ км </w:t>
      </w:r>
      <w:r w:rsidRPr="007B4B0B">
        <w:rPr>
          <w:i/>
        </w:rPr>
        <w:t>(протяженность освещенных участков),</w:t>
      </w:r>
      <w:r w:rsidRPr="007B4B0B">
        <w:t xml:space="preserve"> км = </w:t>
      </w:r>
      <w:r w:rsidRPr="007B4B0B">
        <w:rPr>
          <w:i/>
        </w:rPr>
        <w:t>(общая протяженность линий наружного освещения).</w:t>
      </w:r>
    </w:p>
    <w:p w:rsidR="00F1558B" w:rsidRPr="007B4B0B" w:rsidRDefault="00F1558B" w:rsidP="002C4B3E">
      <w:pPr>
        <w:pStyle w:val="af6"/>
        <w:numPr>
          <w:ilvl w:val="0"/>
          <w:numId w:val="376"/>
        </w:numPr>
        <w:tabs>
          <w:tab w:val="left" w:pos="-2127"/>
          <w:tab w:val="left" w:pos="142"/>
        </w:tabs>
        <w:ind w:left="0" w:firstLine="0"/>
        <w:jc w:val="both"/>
      </w:pPr>
      <w:r w:rsidRPr="007B4B0B">
        <w:rPr>
          <w:iCs/>
          <w:color w:val="000000"/>
        </w:rPr>
        <w:t>Общее число светильников ЛНО и АНО</w:t>
      </w:r>
      <w:r w:rsidRPr="007B4B0B">
        <w:rPr>
          <w:b/>
          <w:bCs/>
          <w:iCs/>
          <w:color w:val="000000"/>
        </w:rPr>
        <w:t xml:space="preserve"> (</w:t>
      </w:r>
      <w:r w:rsidRPr="007B4B0B">
        <w:rPr>
          <w:b/>
          <w:bCs/>
          <w:iCs/>
          <w:color w:val="000000"/>
          <w:lang w:val="en-US"/>
        </w:rPr>
        <w:t>N</w:t>
      </w:r>
      <w:r w:rsidRPr="007B4B0B">
        <w:rPr>
          <w:b/>
          <w:bCs/>
          <w:iCs/>
          <w:color w:val="000000"/>
          <w:vertAlign w:val="subscript"/>
        </w:rPr>
        <w:t>С</w:t>
      </w:r>
      <w:r w:rsidRPr="007B4B0B">
        <w:rPr>
          <w:iCs/>
          <w:color w:val="000000"/>
        </w:rPr>
        <w:t>) = ________шт.</w:t>
      </w:r>
    </w:p>
    <w:p w:rsidR="00F1558B" w:rsidRPr="007B4B0B" w:rsidRDefault="00F1558B" w:rsidP="002C4B3E">
      <w:pPr>
        <w:pStyle w:val="af6"/>
        <w:numPr>
          <w:ilvl w:val="0"/>
          <w:numId w:val="376"/>
        </w:numPr>
        <w:tabs>
          <w:tab w:val="left" w:pos="-2127"/>
          <w:tab w:val="left" w:pos="142"/>
        </w:tabs>
        <w:ind w:left="0" w:firstLine="0"/>
        <w:jc w:val="both"/>
      </w:pPr>
      <w:r w:rsidRPr="007B4B0B">
        <w:t>Количество не горящих подряд светильников ЛНО и АНО (</w:t>
      </w:r>
      <w:r w:rsidRPr="007B4B0B">
        <w:rPr>
          <w:b/>
        </w:rPr>
        <w:t>nКНС1</w:t>
      </w:r>
      <w:r w:rsidRPr="007B4B0B">
        <w:t>) = _________ шт.</w:t>
      </w:r>
    </w:p>
    <w:p w:rsidR="00F1558B" w:rsidRPr="007B4B0B" w:rsidRDefault="00F1558B" w:rsidP="002C4B3E">
      <w:pPr>
        <w:pStyle w:val="af6"/>
        <w:numPr>
          <w:ilvl w:val="0"/>
          <w:numId w:val="376"/>
        </w:numPr>
        <w:tabs>
          <w:tab w:val="left" w:pos="-2127"/>
          <w:tab w:val="left" w:pos="142"/>
        </w:tabs>
        <w:ind w:left="0" w:firstLine="0"/>
        <w:jc w:val="both"/>
      </w:pPr>
      <w:r w:rsidRPr="007B4B0B">
        <w:t xml:space="preserve">Количество не горящих одиночных светильников при превышении порога 5% </w:t>
      </w:r>
      <w:r w:rsidRPr="007B4B0B">
        <w:rPr>
          <w:iCs/>
          <w:color w:val="000000"/>
        </w:rPr>
        <w:t xml:space="preserve">от общего числа </w:t>
      </w:r>
      <w:r w:rsidRPr="007B4B0B">
        <w:t xml:space="preserve">на участке </w:t>
      </w:r>
      <w:r w:rsidRPr="007B4B0B">
        <w:rPr>
          <w:i/>
        </w:rPr>
        <w:t>(</w:t>
      </w:r>
      <w:r w:rsidRPr="007B4B0B">
        <w:rPr>
          <w:i/>
          <w:iCs/>
          <w:color w:val="000000"/>
        </w:rPr>
        <w:t>участком является группа линий наружного освещения, присоединенная к одному шкафу управления</w:t>
      </w:r>
      <w:r w:rsidRPr="007B4B0B">
        <w:rPr>
          <w:i/>
        </w:rPr>
        <w:t>),</w:t>
      </w:r>
      <w:r w:rsidRPr="007B4B0B">
        <w:t xml:space="preserve"> </w:t>
      </w:r>
      <w:r w:rsidRPr="007B4B0B">
        <w:rPr>
          <w:iCs/>
          <w:color w:val="000000"/>
        </w:rPr>
        <w:t>шт (</w:t>
      </w:r>
      <w:r w:rsidRPr="007B4B0B">
        <w:rPr>
          <w:b/>
          <w:bCs/>
          <w:iCs/>
          <w:color w:val="000000"/>
          <w:sz w:val="28"/>
          <w:szCs w:val="28"/>
          <w:lang w:val="en-US"/>
        </w:rPr>
        <w:t>n</w:t>
      </w:r>
      <w:r w:rsidRPr="007B4B0B">
        <w:rPr>
          <w:b/>
          <w:bCs/>
          <w:iCs/>
          <w:color w:val="000000"/>
          <w:sz w:val="28"/>
          <w:szCs w:val="28"/>
          <w:vertAlign w:val="subscript"/>
        </w:rPr>
        <w:t>КНС2</w:t>
      </w:r>
      <w:r w:rsidRPr="007B4B0B">
        <w:rPr>
          <w:iCs/>
          <w:color w:val="000000"/>
        </w:rPr>
        <w:t>) =__________ шт.</w:t>
      </w:r>
    </w:p>
    <w:p w:rsidR="00F1558B" w:rsidRPr="007B4B0B" w:rsidRDefault="00F1558B" w:rsidP="002C4B3E">
      <w:pPr>
        <w:pStyle w:val="af6"/>
        <w:widowControl w:val="0"/>
        <w:numPr>
          <w:ilvl w:val="0"/>
          <w:numId w:val="376"/>
        </w:numPr>
        <w:tabs>
          <w:tab w:val="left" w:pos="142"/>
        </w:tabs>
        <w:autoSpaceDE w:val="0"/>
        <w:autoSpaceDN w:val="0"/>
        <w:spacing w:line="276" w:lineRule="auto"/>
        <w:ind w:left="0" w:firstLine="0"/>
        <w:jc w:val="both"/>
      </w:pPr>
      <w:r w:rsidRPr="007B4B0B">
        <w:t>Перечень оказанных услуг по содержанию элементов НО,</w:t>
      </w:r>
      <w:r w:rsidRPr="007B4B0B">
        <w:rPr>
          <w:iCs/>
        </w:rPr>
        <w:t xml:space="preserve"> в соответствии с линейным графиком ЛНО</w:t>
      </w:r>
      <w:r w:rsidRPr="007B4B0B">
        <w:t xml:space="preserve"> и линейным графиком АНО</w:t>
      </w:r>
      <w:r w:rsidRPr="007B4B0B">
        <w:rPr>
          <w:iCs/>
          <w:color w:val="000000"/>
        </w:rPr>
        <w:t xml:space="preserve">, включенных в соответствии с разделом 3 </w:t>
      </w:r>
      <w:r w:rsidRPr="007B4B0B">
        <w:t xml:space="preserve">Типового приложения № </w:t>
      </w:r>
      <w:r w:rsidR="00D41391" w:rsidRPr="007B4B0B">
        <w:rPr>
          <w:iCs/>
        </w:rPr>
        <w:t>96</w:t>
      </w:r>
      <w:r w:rsidR="00D41391" w:rsidRPr="007B4B0B">
        <w:t>, утвержденного приказом Государственной компании «Российские автомобильные дороги»</w:t>
      </w:r>
      <w:r w:rsidRPr="007B4B0B">
        <w:t>, за отчетный период:</w:t>
      </w:r>
    </w:p>
    <w:tbl>
      <w:tblPr>
        <w:tblStyle w:val="af2"/>
        <w:tblW w:w="5000" w:type="pct"/>
        <w:tblLook w:val="04A0" w:firstRow="1" w:lastRow="0" w:firstColumn="1" w:lastColumn="0" w:noHBand="0" w:noVBand="1"/>
      </w:tblPr>
      <w:tblGrid>
        <w:gridCol w:w="668"/>
        <w:gridCol w:w="2962"/>
        <w:gridCol w:w="2557"/>
        <w:gridCol w:w="3498"/>
      </w:tblGrid>
      <w:tr w:rsidR="00F1558B" w:rsidRPr="007B4B0B" w:rsidTr="006E4C2D">
        <w:tc>
          <w:tcPr>
            <w:tcW w:w="345"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2"/>
              </w:tabs>
              <w:jc w:val="center"/>
            </w:pPr>
            <w:r w:rsidRPr="007B4B0B">
              <w:t>№</w:t>
            </w:r>
          </w:p>
        </w:tc>
        <w:tc>
          <w:tcPr>
            <w:tcW w:w="1529"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2"/>
              </w:tabs>
              <w:jc w:val="center"/>
            </w:pPr>
            <w:r w:rsidRPr="007B4B0B">
              <w:t>Наименование услуг</w:t>
            </w:r>
          </w:p>
        </w:tc>
        <w:tc>
          <w:tcPr>
            <w:tcW w:w="1320"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2"/>
              </w:tabs>
              <w:jc w:val="center"/>
            </w:pPr>
            <w:r w:rsidRPr="007B4B0B">
              <w:t>Отметка об оказании</w:t>
            </w:r>
          </w:p>
        </w:tc>
        <w:tc>
          <w:tcPr>
            <w:tcW w:w="1806"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2"/>
              </w:tabs>
              <w:jc w:val="center"/>
            </w:pPr>
            <w:r w:rsidRPr="007B4B0B">
              <w:t>Отметка об оказании в срок</w:t>
            </w:r>
          </w:p>
        </w:tc>
      </w:tr>
      <w:tr w:rsidR="00F1558B" w:rsidRPr="007B4B0B" w:rsidTr="006E4C2D">
        <w:tc>
          <w:tcPr>
            <w:tcW w:w="345"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2"/>
              </w:tabs>
              <w:jc w:val="center"/>
            </w:pPr>
            <w:r w:rsidRPr="007B4B0B">
              <w:t>1</w:t>
            </w:r>
          </w:p>
        </w:tc>
        <w:tc>
          <w:tcPr>
            <w:tcW w:w="152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c>
          <w:tcPr>
            <w:tcW w:w="1320"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c>
          <w:tcPr>
            <w:tcW w:w="1806"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r>
      <w:tr w:rsidR="00F1558B" w:rsidRPr="007B4B0B" w:rsidTr="006E4C2D">
        <w:tc>
          <w:tcPr>
            <w:tcW w:w="345"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2"/>
              </w:tabs>
              <w:jc w:val="center"/>
            </w:pPr>
            <w:r w:rsidRPr="007B4B0B">
              <w:t>2</w:t>
            </w:r>
          </w:p>
        </w:tc>
        <w:tc>
          <w:tcPr>
            <w:tcW w:w="152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c>
          <w:tcPr>
            <w:tcW w:w="1320"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c>
          <w:tcPr>
            <w:tcW w:w="1806"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r>
      <w:tr w:rsidR="00F1558B" w:rsidRPr="007B4B0B" w:rsidTr="006E4C2D">
        <w:tc>
          <w:tcPr>
            <w:tcW w:w="345"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2"/>
              </w:tabs>
              <w:jc w:val="center"/>
            </w:pPr>
            <w:r w:rsidRPr="007B4B0B">
              <w:t>….</w:t>
            </w:r>
          </w:p>
        </w:tc>
        <w:tc>
          <w:tcPr>
            <w:tcW w:w="152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c>
          <w:tcPr>
            <w:tcW w:w="1320"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c>
          <w:tcPr>
            <w:tcW w:w="1806"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2"/>
              </w:tabs>
              <w:jc w:val="center"/>
            </w:pPr>
          </w:p>
        </w:tc>
      </w:tr>
    </w:tbl>
    <w:p w:rsidR="00F1558B" w:rsidRPr="007B4B0B" w:rsidRDefault="00F1558B" w:rsidP="00F1558B">
      <w:pPr>
        <w:jc w:val="both"/>
      </w:pPr>
      <w:r w:rsidRPr="007B4B0B">
        <w:rPr>
          <w:noProof/>
        </w:rPr>
        <w:drawing>
          <wp:inline distT="0" distB="0" distL="0" distR="0" wp14:anchorId="1AABB85B" wp14:editId="48CC429D">
            <wp:extent cx="476250" cy="228600"/>
            <wp:effectExtent l="0" t="0" r="0" b="0"/>
            <wp:docPr id="25" name="Рисунок 25" descr="{90480839-8D4A-4EDC-8905-6F2799210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90480839-8D4A-4EDC-8905-6F2799210C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228600"/>
                    </a:xfrm>
                    <a:prstGeom prst="rect">
                      <a:avLst/>
                    </a:prstGeom>
                    <a:noFill/>
                    <a:ln>
                      <a:noFill/>
                    </a:ln>
                  </pic:spPr>
                </pic:pic>
              </a:graphicData>
            </a:graphic>
          </wp:inline>
        </w:drawing>
      </w:r>
      <w:r w:rsidRPr="007B4B0B">
        <w:rPr>
          <w:iCs/>
          <w:color w:val="000000"/>
        </w:rPr>
        <w:t xml:space="preserve">– количество неисполненных услуг по </w:t>
      </w:r>
      <w:r w:rsidRPr="007B4B0B">
        <w:rPr>
          <w:iCs/>
        </w:rPr>
        <w:t xml:space="preserve">линейному </w:t>
      </w:r>
      <w:r w:rsidRPr="007B4B0B">
        <w:rPr>
          <w:iCs/>
          <w:color w:val="000000"/>
        </w:rPr>
        <w:t xml:space="preserve">графику ЛНО </w:t>
      </w:r>
      <w:r w:rsidRPr="007B4B0B">
        <w:rPr>
          <w:i/>
          <w:iCs/>
          <w:color w:val="000000"/>
        </w:rPr>
        <w:t xml:space="preserve">(включенных в линейный график соответствии с разделом 3 </w:t>
      </w:r>
      <w:r w:rsidRPr="007B4B0B">
        <w:rPr>
          <w:i/>
          <w:iCs/>
        </w:rPr>
        <w:t xml:space="preserve">Типового приложения № </w:t>
      </w:r>
      <w:r w:rsidR="00D41391" w:rsidRPr="007B4B0B">
        <w:rPr>
          <w:i/>
          <w:iCs/>
        </w:rPr>
        <w:t>96</w:t>
      </w:r>
      <w:r w:rsidR="00D41391" w:rsidRPr="007B4B0B">
        <w:rPr>
          <w:i/>
        </w:rPr>
        <w:t>, утвержденного приказом Государственной компании «Российские автомобильные дороги»</w:t>
      </w:r>
      <w:r w:rsidRPr="007B4B0B">
        <w:rPr>
          <w:i/>
          <w:iCs/>
          <w:color w:val="000000"/>
        </w:rPr>
        <w:t>)</w:t>
      </w:r>
      <w:r w:rsidRPr="007B4B0B">
        <w:rPr>
          <w:iCs/>
          <w:color w:val="000000"/>
        </w:rPr>
        <w:t xml:space="preserve"> = _____ед.</w:t>
      </w:r>
    </w:p>
    <w:p w:rsidR="00F1558B" w:rsidRPr="007B4B0B" w:rsidRDefault="00F1558B" w:rsidP="00F1558B">
      <w:pPr>
        <w:jc w:val="both"/>
      </w:pPr>
      <w:r w:rsidRPr="007B4B0B">
        <w:rPr>
          <w:noProof/>
        </w:rPr>
        <w:lastRenderedPageBreak/>
        <w:drawing>
          <wp:inline distT="0" distB="0" distL="0" distR="0" wp14:anchorId="5F246CC8" wp14:editId="136E1624">
            <wp:extent cx="466725" cy="228600"/>
            <wp:effectExtent l="0" t="0" r="9525" b="0"/>
            <wp:docPr id="26" name="Рисунок 26" descr="{163C7F0C-A04E-4EB4-89A8-73D2DD2F1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63C7F0C-A04E-4EB4-89A8-73D2DD2F1B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7B4B0B">
        <w:rPr>
          <w:iCs/>
          <w:color w:val="000000"/>
        </w:rPr>
        <w:t xml:space="preserve">– количество неисполненных услуг по </w:t>
      </w:r>
      <w:r w:rsidRPr="007B4B0B">
        <w:rPr>
          <w:iCs/>
        </w:rPr>
        <w:t xml:space="preserve">линейному </w:t>
      </w:r>
      <w:r w:rsidRPr="007B4B0B">
        <w:rPr>
          <w:iCs/>
          <w:color w:val="000000"/>
        </w:rPr>
        <w:t xml:space="preserve">графику АНО </w:t>
      </w:r>
      <w:r w:rsidRPr="007B4B0B">
        <w:rPr>
          <w:i/>
          <w:iCs/>
          <w:color w:val="000000"/>
        </w:rPr>
        <w:t xml:space="preserve">(включенных в линейный график соответствии с разделом 3 </w:t>
      </w:r>
      <w:r w:rsidRPr="007B4B0B">
        <w:rPr>
          <w:i/>
          <w:iCs/>
        </w:rPr>
        <w:t xml:space="preserve">Типового приложения № </w:t>
      </w:r>
      <w:r w:rsidR="00D41391" w:rsidRPr="007B4B0B">
        <w:rPr>
          <w:i/>
          <w:iCs/>
        </w:rPr>
        <w:t>96</w:t>
      </w:r>
      <w:r w:rsidR="00D41391" w:rsidRPr="007B4B0B">
        <w:rPr>
          <w:i/>
        </w:rPr>
        <w:t>, утвержденного приказом Государственной компании «Российские автомобильные дороги»</w:t>
      </w:r>
      <w:r w:rsidRPr="007B4B0B">
        <w:rPr>
          <w:i/>
          <w:iCs/>
          <w:color w:val="000000"/>
        </w:rPr>
        <w:t>)</w:t>
      </w:r>
      <w:r w:rsidRPr="007B4B0B">
        <w:rPr>
          <w:iCs/>
          <w:color w:val="000000"/>
        </w:rPr>
        <w:t xml:space="preserve"> = _____ед.</w:t>
      </w:r>
    </w:p>
    <w:p w:rsidR="00F1558B" w:rsidRPr="007B4B0B" w:rsidRDefault="00F1558B" w:rsidP="00F1558B">
      <w:pPr>
        <w:jc w:val="both"/>
      </w:pPr>
      <w:r w:rsidRPr="007B4B0B">
        <w:rPr>
          <w:noProof/>
        </w:rPr>
        <w:drawing>
          <wp:inline distT="0" distB="0" distL="0" distR="0" wp14:anchorId="0154229F" wp14:editId="13C0E270">
            <wp:extent cx="333375" cy="209550"/>
            <wp:effectExtent l="0" t="0" r="9525" b="0"/>
            <wp:docPr id="27" name="Рисунок 27" descr="{6F6ED3A6-176A-4E4E-8923-EC1D4B2B5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F6ED3A6-176A-4E4E-8923-EC1D4B2B5F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7B4B0B">
        <w:rPr>
          <w:iCs/>
        </w:rPr>
        <w:t xml:space="preserve"> - количество услуг, предусмотренных по линейному графику ЛНО в единицах по отчетному месяцу </w:t>
      </w:r>
      <w:r w:rsidRPr="007B4B0B">
        <w:rPr>
          <w:i/>
          <w:iCs/>
          <w:color w:val="000000"/>
        </w:rPr>
        <w:t xml:space="preserve">(включенных в линейный график соответствии с разделом 3 </w:t>
      </w:r>
      <w:r w:rsidRPr="007B4B0B">
        <w:rPr>
          <w:i/>
          <w:iCs/>
        </w:rPr>
        <w:t xml:space="preserve">Типового приложения № </w:t>
      </w:r>
      <w:r w:rsidR="00D41391" w:rsidRPr="007B4B0B">
        <w:rPr>
          <w:i/>
          <w:iCs/>
        </w:rPr>
        <w:t>96</w:t>
      </w:r>
      <w:r w:rsidR="00D41391" w:rsidRPr="007B4B0B">
        <w:rPr>
          <w:i/>
        </w:rPr>
        <w:t>, утвержденного приказом Государственной компании «Российские автомобильные дороги»</w:t>
      </w:r>
      <w:r w:rsidRPr="007B4B0B">
        <w:rPr>
          <w:i/>
          <w:iCs/>
          <w:color w:val="000000"/>
        </w:rPr>
        <w:t xml:space="preserve">) </w:t>
      </w:r>
      <w:r w:rsidRPr="007B4B0B">
        <w:rPr>
          <w:iCs/>
        </w:rPr>
        <w:t>=______ед.</w:t>
      </w:r>
    </w:p>
    <w:p w:rsidR="00F1558B" w:rsidRPr="007B4B0B" w:rsidRDefault="00F1558B" w:rsidP="00F1558B">
      <w:pPr>
        <w:tabs>
          <w:tab w:val="left" w:pos="142"/>
        </w:tabs>
        <w:jc w:val="both"/>
        <w:rPr>
          <w:iCs/>
        </w:rPr>
      </w:pPr>
      <w:r w:rsidRPr="007B4B0B">
        <w:t>R</w:t>
      </w:r>
      <w:r w:rsidRPr="007B4B0B">
        <w:rPr>
          <w:i/>
          <w:vertAlign w:val="subscript"/>
        </w:rPr>
        <w:t>ано</w:t>
      </w:r>
      <w:r w:rsidRPr="007B4B0B">
        <w:rPr>
          <w:iCs/>
        </w:rPr>
        <w:t xml:space="preserve"> - количество услуг, предусмотренных по линейному графику АНО в единицах по отчетному месяцу </w:t>
      </w:r>
      <w:r w:rsidRPr="007B4B0B">
        <w:rPr>
          <w:i/>
          <w:iCs/>
          <w:color w:val="000000"/>
        </w:rPr>
        <w:t xml:space="preserve">(включенных в линейный график соответствии с разделом 3 </w:t>
      </w:r>
      <w:r w:rsidRPr="007B4B0B">
        <w:rPr>
          <w:i/>
          <w:iCs/>
        </w:rPr>
        <w:t xml:space="preserve">Типового приложения № </w:t>
      </w:r>
      <w:r w:rsidR="00D41391" w:rsidRPr="007B4B0B">
        <w:rPr>
          <w:i/>
          <w:iCs/>
        </w:rPr>
        <w:t>96</w:t>
      </w:r>
      <w:r w:rsidR="00D41391" w:rsidRPr="007B4B0B">
        <w:rPr>
          <w:i/>
        </w:rPr>
        <w:t>, утвержденного приказом Государственной компании «Российские автомобильные дороги»</w:t>
      </w:r>
      <w:r w:rsidRPr="007B4B0B">
        <w:rPr>
          <w:i/>
          <w:iCs/>
          <w:color w:val="000000"/>
        </w:rPr>
        <w:t>)</w:t>
      </w:r>
      <w:r w:rsidRPr="007B4B0B">
        <w:rPr>
          <w:iCs/>
          <w:color w:val="000000"/>
        </w:rPr>
        <w:t xml:space="preserve"> </w:t>
      </w:r>
      <w:r w:rsidRPr="007B4B0B">
        <w:rPr>
          <w:iCs/>
        </w:rPr>
        <w:t>= ____ед.</w:t>
      </w:r>
    </w:p>
    <w:p w:rsidR="00F1558B" w:rsidRPr="007B4B0B" w:rsidRDefault="00F1558B" w:rsidP="00F1558B">
      <w:pPr>
        <w:tabs>
          <w:tab w:val="left" w:pos="142"/>
        </w:tabs>
        <w:jc w:val="both"/>
      </w:pPr>
      <w:r w:rsidRPr="007B4B0B">
        <w:t>R</w:t>
      </w:r>
      <w:r w:rsidRPr="007B4B0B">
        <w:rPr>
          <w:i/>
          <w:vertAlign w:val="subscript"/>
        </w:rPr>
        <w:t>вед</w:t>
      </w:r>
      <w:r w:rsidRPr="007B4B0B">
        <w:t xml:space="preserve"> – количество не устраненных Дефектов элементов НО, либо не устраненных в установленный срок, в соответствии с Ведомостью устранения Дефектов элементов НО по форме Типового приложения № </w:t>
      </w:r>
      <w:r w:rsidR="00D41391" w:rsidRPr="007B4B0B">
        <w:t>151, утвержденного приказом Государственной компании «Российские автомобильные дороги»</w:t>
      </w:r>
      <w:r w:rsidRPr="007B4B0B">
        <w:t>) = _____ ед.</w:t>
      </w:r>
    </w:p>
    <w:p w:rsidR="00F1558B" w:rsidRPr="007B4B0B" w:rsidRDefault="00F1558B" w:rsidP="00F1558B">
      <w:pPr>
        <w:tabs>
          <w:tab w:val="left" w:pos="142"/>
        </w:tabs>
        <w:jc w:val="both"/>
      </w:pPr>
      <w:r w:rsidRPr="007B4B0B">
        <w:t>P</w:t>
      </w:r>
      <w:r w:rsidRPr="007B4B0B">
        <w:rPr>
          <w:i/>
          <w:vertAlign w:val="subscript"/>
        </w:rPr>
        <w:t>штр</w:t>
      </w:r>
      <w:r w:rsidRPr="007B4B0B">
        <w:t xml:space="preserve"> – неустойка з</w:t>
      </w:r>
      <w:r w:rsidRPr="007B4B0B">
        <w:rPr>
          <w:bCs/>
        </w:rPr>
        <w:t>а нарушение Подрядчиком, установленных Договором сроков устранения Дефектов элементов НО, выявленных на Объекте</w:t>
      </w:r>
      <w:r w:rsidRPr="007B4B0B">
        <w:t xml:space="preserve"> = _____________ руб.</w:t>
      </w:r>
    </w:p>
    <w:p w:rsidR="00F1558B" w:rsidRPr="007B4B0B" w:rsidRDefault="00F1558B" w:rsidP="002C4B3E">
      <w:pPr>
        <w:pStyle w:val="af6"/>
        <w:widowControl w:val="0"/>
        <w:numPr>
          <w:ilvl w:val="0"/>
          <w:numId w:val="376"/>
        </w:numPr>
        <w:autoSpaceDE w:val="0"/>
        <w:autoSpaceDN w:val="0"/>
        <w:ind w:left="0" w:firstLine="0"/>
        <w:jc w:val="both"/>
      </w:pPr>
      <w:r w:rsidRPr="007B4B0B">
        <w:rPr>
          <w:iCs/>
          <w:color w:val="000000"/>
        </w:rPr>
        <w:t>Общая стоимость оказанных услуг по содержанию элементов НО на Объекте, предъявленных к оплате за отчетный период, в соответствии с Графиком объема оплаты Договора на текущий год составляет (</w:t>
      </w:r>
      <w:r w:rsidRPr="007B4B0B">
        <w:rPr>
          <w:b/>
          <w:iCs/>
          <w:color w:val="000000"/>
          <w:lang w:val="en-US"/>
        </w:rPr>
        <w:t>P</w:t>
      </w:r>
      <w:r w:rsidRPr="007B4B0B">
        <w:rPr>
          <w:iCs/>
          <w:color w:val="000000"/>
        </w:rPr>
        <w:t xml:space="preserve">) = ________________________ руб. </w:t>
      </w:r>
    </w:p>
    <w:p w:rsidR="00F1558B" w:rsidRPr="007B4B0B" w:rsidRDefault="00F1558B" w:rsidP="002C4B3E">
      <w:pPr>
        <w:pStyle w:val="af6"/>
        <w:widowControl w:val="0"/>
        <w:numPr>
          <w:ilvl w:val="0"/>
          <w:numId w:val="376"/>
        </w:numPr>
        <w:autoSpaceDE w:val="0"/>
        <w:autoSpaceDN w:val="0"/>
        <w:ind w:left="0" w:firstLine="0"/>
        <w:jc w:val="both"/>
      </w:pPr>
      <w:r w:rsidRPr="007B4B0B">
        <w:rPr>
          <w:iCs/>
        </w:rPr>
        <w:t>Коэффициент, учитывающий процентный порог не горящих подряд светильников ЛНО и АНО, также количество не горящих светильников при превышении 5% порога на участках от общего числа (</w:t>
      </w:r>
      <w:r w:rsidRPr="007B4B0B">
        <w:rPr>
          <w:iCs/>
          <w:lang w:val="en-US"/>
        </w:rPr>
        <w:t>K</w:t>
      </w:r>
      <w:r w:rsidRPr="007B4B0B">
        <w:rPr>
          <w:iCs/>
        </w:rPr>
        <w:t>) равный______:</w:t>
      </w:r>
    </w:p>
    <w:p w:rsidR="00F1558B" w:rsidRPr="007B4B0B" w:rsidRDefault="00F1558B" w:rsidP="00F1558B">
      <w:pPr>
        <w:pStyle w:val="af6"/>
        <w:ind w:left="0"/>
        <w:jc w:val="both"/>
      </w:pPr>
      <w:r w:rsidRPr="007B4B0B">
        <w:rPr>
          <w:i/>
          <w:iCs/>
        </w:rPr>
        <w:t xml:space="preserve">1 - при сумме </w:t>
      </w:r>
      <w:r w:rsidRPr="007B4B0B">
        <w:rPr>
          <w:b/>
          <w:bCs/>
          <w:i/>
          <w:iCs/>
          <w:color w:val="000000"/>
          <w:lang w:val="en-US"/>
        </w:rPr>
        <w:t>n</w:t>
      </w:r>
      <w:r w:rsidRPr="007B4B0B">
        <w:rPr>
          <w:b/>
          <w:bCs/>
          <w:i/>
          <w:iCs/>
          <w:color w:val="000000"/>
          <w:vertAlign w:val="subscript"/>
        </w:rPr>
        <w:t>КНС1</w:t>
      </w:r>
      <w:r w:rsidRPr="007B4B0B">
        <w:rPr>
          <w:b/>
          <w:bCs/>
          <w:i/>
          <w:iCs/>
          <w:color w:val="000000"/>
        </w:rPr>
        <w:t>+</w:t>
      </w:r>
      <w:r w:rsidRPr="007B4B0B">
        <w:rPr>
          <w:b/>
          <w:bCs/>
          <w:i/>
          <w:iCs/>
          <w:color w:val="000000"/>
          <w:lang w:val="en-US"/>
        </w:rPr>
        <w:t>n</w:t>
      </w:r>
      <w:r w:rsidRPr="007B4B0B">
        <w:rPr>
          <w:b/>
          <w:bCs/>
          <w:i/>
          <w:iCs/>
          <w:color w:val="000000"/>
          <w:vertAlign w:val="subscript"/>
        </w:rPr>
        <w:t>КНС2</w:t>
      </w:r>
      <w:r w:rsidRPr="007B4B0B">
        <w:rPr>
          <w:i/>
          <w:iCs/>
        </w:rPr>
        <w:t xml:space="preserve"> менее или равным 10%;</w:t>
      </w:r>
    </w:p>
    <w:p w:rsidR="00F1558B" w:rsidRPr="007B4B0B" w:rsidRDefault="00F1558B" w:rsidP="00F1558B">
      <w:pPr>
        <w:pStyle w:val="af6"/>
        <w:ind w:left="0"/>
        <w:jc w:val="both"/>
      </w:pPr>
      <w:r w:rsidRPr="007B4B0B">
        <w:rPr>
          <w:i/>
          <w:iCs/>
        </w:rPr>
        <w:t xml:space="preserve">0,7 - при сумме </w:t>
      </w:r>
      <w:r w:rsidRPr="007B4B0B">
        <w:rPr>
          <w:b/>
          <w:bCs/>
          <w:i/>
          <w:iCs/>
          <w:color w:val="000000"/>
          <w:lang w:val="en-US"/>
        </w:rPr>
        <w:t>n</w:t>
      </w:r>
      <w:r w:rsidRPr="007B4B0B">
        <w:rPr>
          <w:b/>
          <w:bCs/>
          <w:i/>
          <w:iCs/>
          <w:color w:val="000000"/>
          <w:vertAlign w:val="subscript"/>
        </w:rPr>
        <w:t>КНС1</w:t>
      </w:r>
      <w:r w:rsidRPr="007B4B0B">
        <w:rPr>
          <w:b/>
          <w:bCs/>
          <w:i/>
          <w:iCs/>
          <w:color w:val="000000"/>
        </w:rPr>
        <w:t>+</w:t>
      </w:r>
      <w:r w:rsidRPr="007B4B0B">
        <w:rPr>
          <w:b/>
          <w:bCs/>
          <w:i/>
          <w:iCs/>
          <w:color w:val="000000"/>
          <w:lang w:val="en-US"/>
        </w:rPr>
        <w:t>n</w:t>
      </w:r>
      <w:r w:rsidRPr="007B4B0B">
        <w:rPr>
          <w:b/>
          <w:bCs/>
          <w:i/>
          <w:iCs/>
          <w:color w:val="000000"/>
          <w:vertAlign w:val="subscript"/>
        </w:rPr>
        <w:t>КНС2</w:t>
      </w:r>
      <w:r w:rsidRPr="007B4B0B">
        <w:rPr>
          <w:i/>
          <w:iCs/>
        </w:rPr>
        <w:t xml:space="preserve"> от 10% до 30 %;</w:t>
      </w:r>
    </w:p>
    <w:p w:rsidR="00F1558B" w:rsidRPr="007B4B0B" w:rsidRDefault="00F1558B" w:rsidP="00F1558B">
      <w:pPr>
        <w:pStyle w:val="af6"/>
        <w:ind w:left="0"/>
        <w:jc w:val="both"/>
        <w:rPr>
          <w:i/>
          <w:iCs/>
        </w:rPr>
      </w:pPr>
      <w:r w:rsidRPr="007B4B0B">
        <w:rPr>
          <w:i/>
          <w:iCs/>
        </w:rPr>
        <w:t xml:space="preserve">0,4 - при сумме </w:t>
      </w:r>
      <w:r w:rsidRPr="007B4B0B">
        <w:rPr>
          <w:b/>
          <w:bCs/>
          <w:i/>
          <w:iCs/>
          <w:color w:val="000000"/>
          <w:lang w:val="en-US"/>
        </w:rPr>
        <w:t>n</w:t>
      </w:r>
      <w:r w:rsidRPr="007B4B0B">
        <w:rPr>
          <w:b/>
          <w:bCs/>
          <w:i/>
          <w:iCs/>
          <w:color w:val="000000"/>
          <w:vertAlign w:val="subscript"/>
        </w:rPr>
        <w:t>КНС1</w:t>
      </w:r>
      <w:r w:rsidRPr="007B4B0B">
        <w:rPr>
          <w:b/>
          <w:bCs/>
          <w:i/>
          <w:iCs/>
          <w:color w:val="000000"/>
        </w:rPr>
        <w:t>+</w:t>
      </w:r>
      <w:r w:rsidRPr="007B4B0B">
        <w:rPr>
          <w:b/>
          <w:bCs/>
          <w:i/>
          <w:iCs/>
          <w:color w:val="000000"/>
          <w:lang w:val="en-US"/>
        </w:rPr>
        <w:t>n</w:t>
      </w:r>
      <w:r w:rsidRPr="007B4B0B">
        <w:rPr>
          <w:b/>
          <w:bCs/>
          <w:i/>
          <w:iCs/>
          <w:color w:val="000000"/>
          <w:vertAlign w:val="subscript"/>
        </w:rPr>
        <w:t>КНС2</w:t>
      </w:r>
      <w:r w:rsidRPr="007B4B0B">
        <w:rPr>
          <w:i/>
          <w:iCs/>
        </w:rPr>
        <w:t xml:space="preserve"> более 30%.</w:t>
      </w:r>
    </w:p>
    <w:p w:rsidR="00F1558B" w:rsidRPr="007B4B0B" w:rsidRDefault="00F1558B" w:rsidP="002C4B3E">
      <w:pPr>
        <w:pStyle w:val="af6"/>
        <w:widowControl w:val="0"/>
        <w:numPr>
          <w:ilvl w:val="0"/>
          <w:numId w:val="376"/>
        </w:numPr>
        <w:autoSpaceDE w:val="0"/>
        <w:autoSpaceDN w:val="0"/>
        <w:spacing w:line="276" w:lineRule="auto"/>
        <w:ind w:left="0" w:firstLine="0"/>
        <w:jc w:val="both"/>
        <w:rPr>
          <w:i/>
          <w:iCs/>
        </w:rPr>
      </w:pPr>
      <w:r w:rsidRPr="007B4B0B">
        <w:rPr>
          <w:iCs/>
        </w:rPr>
        <w:t>Коэффициент, учитывающий нарушение сроков снятия показаний коммерческих приборов учета электроэнергии (счетчиков) и передачи данных в соответствующие филиалы Государственной компании (</w:t>
      </w:r>
      <w:r w:rsidRPr="007B4B0B">
        <w:rPr>
          <w:b/>
          <w:bCs/>
          <w:iCs/>
          <w:lang w:val="en-US"/>
        </w:rPr>
        <w:t>W</w:t>
      </w:r>
      <w:r w:rsidRPr="007B4B0B">
        <w:rPr>
          <w:b/>
          <w:bCs/>
          <w:iCs/>
        </w:rPr>
        <w:t>1</w:t>
      </w:r>
      <w:r w:rsidRPr="007B4B0B">
        <w:rPr>
          <w:b/>
          <w:iCs/>
        </w:rPr>
        <w:t xml:space="preserve">) </w:t>
      </w:r>
      <w:r w:rsidRPr="007B4B0B">
        <w:rPr>
          <w:iCs/>
        </w:rPr>
        <w:t>равный______:</w:t>
      </w:r>
    </w:p>
    <w:p w:rsidR="00F1558B" w:rsidRPr="007B4B0B" w:rsidRDefault="00F1558B" w:rsidP="00F1558B">
      <w:pPr>
        <w:pStyle w:val="af6"/>
        <w:ind w:left="0"/>
        <w:jc w:val="both"/>
        <w:rPr>
          <w:i/>
          <w:iCs/>
        </w:rPr>
      </w:pPr>
      <w:r w:rsidRPr="007B4B0B">
        <w:rPr>
          <w:iCs/>
        </w:rPr>
        <w:t>0,</w:t>
      </w:r>
      <w:r w:rsidRPr="007B4B0B">
        <w:rPr>
          <w:i/>
          <w:iCs/>
        </w:rPr>
        <w:t>9 - при нарушении сроков и достоверности данных;</w:t>
      </w:r>
    </w:p>
    <w:p w:rsidR="00F1558B" w:rsidRPr="007B4B0B" w:rsidRDefault="00F1558B" w:rsidP="00F1558B">
      <w:pPr>
        <w:pStyle w:val="af6"/>
        <w:ind w:left="0"/>
        <w:jc w:val="both"/>
      </w:pPr>
      <w:r w:rsidRPr="007B4B0B">
        <w:rPr>
          <w:i/>
          <w:iCs/>
        </w:rPr>
        <w:t xml:space="preserve">1 - без нарушения сроков, при передаче актуальных  сведений </w:t>
      </w:r>
      <w:r w:rsidRPr="007B4B0B">
        <w:t>.</w:t>
      </w:r>
    </w:p>
    <w:p w:rsidR="00F1558B" w:rsidRPr="007B4B0B" w:rsidRDefault="00F1558B" w:rsidP="002C4B3E">
      <w:pPr>
        <w:pStyle w:val="af6"/>
        <w:widowControl w:val="0"/>
        <w:numPr>
          <w:ilvl w:val="0"/>
          <w:numId w:val="376"/>
        </w:numPr>
        <w:autoSpaceDE w:val="0"/>
        <w:autoSpaceDN w:val="0"/>
        <w:spacing w:line="276" w:lineRule="auto"/>
        <w:ind w:left="0" w:firstLine="0"/>
        <w:jc w:val="both"/>
        <w:rPr>
          <w:iCs/>
        </w:rPr>
      </w:pPr>
      <w:r w:rsidRPr="007B4B0B">
        <w:rPr>
          <w:iCs/>
        </w:rPr>
        <w:t>Коэффициент, учитывающий оказание услуг по выполнению технического обслуживания трансформаторных (распределительных) подстанций и пунктов питания,</w:t>
      </w:r>
      <w:r w:rsidRPr="007B4B0B">
        <w:rPr>
          <w:i/>
          <w:iCs/>
        </w:rPr>
        <w:t xml:space="preserve"> </w:t>
      </w:r>
      <w:r w:rsidRPr="007B4B0B">
        <w:rPr>
          <w:iCs/>
          <w:color w:val="000000"/>
        </w:rPr>
        <w:t xml:space="preserve">включенных в линейный график в соответствии с разделом 1 и 2 </w:t>
      </w:r>
      <w:r w:rsidRPr="007B4B0B">
        <w:rPr>
          <w:i/>
          <w:iCs/>
        </w:rPr>
        <w:t xml:space="preserve">Типового приложения № </w:t>
      </w:r>
      <w:r w:rsidR="00D41391" w:rsidRPr="007B4B0B">
        <w:rPr>
          <w:i/>
          <w:iCs/>
        </w:rPr>
        <w:t>96</w:t>
      </w:r>
      <w:r w:rsidR="00D41391" w:rsidRPr="007B4B0B">
        <w:rPr>
          <w:i/>
        </w:rPr>
        <w:t>, утвержденного приказом Государственной компании «Российские автомобильные дороги»</w:t>
      </w:r>
      <w:r w:rsidRPr="007B4B0B">
        <w:rPr>
          <w:iCs/>
          <w:color w:val="000000"/>
        </w:rPr>
        <w:t xml:space="preserve">, </w:t>
      </w:r>
      <w:r w:rsidRPr="007B4B0B">
        <w:rPr>
          <w:b/>
          <w:iCs/>
        </w:rPr>
        <w:t>(</w:t>
      </w:r>
      <w:r w:rsidRPr="007B4B0B">
        <w:rPr>
          <w:b/>
          <w:iCs/>
          <w:lang w:val="en-US"/>
        </w:rPr>
        <w:t>W</w:t>
      </w:r>
      <w:r w:rsidRPr="007B4B0B">
        <w:rPr>
          <w:b/>
          <w:iCs/>
        </w:rPr>
        <w:t xml:space="preserve">2) </w:t>
      </w:r>
      <w:r w:rsidRPr="007B4B0B">
        <w:rPr>
          <w:iCs/>
        </w:rPr>
        <w:t>равный:</w:t>
      </w:r>
    </w:p>
    <w:p w:rsidR="00F1558B" w:rsidRPr="007B4B0B" w:rsidRDefault="00F1558B" w:rsidP="00F1558B">
      <w:pPr>
        <w:pStyle w:val="af6"/>
        <w:ind w:left="0"/>
        <w:jc w:val="both"/>
        <w:rPr>
          <w:i/>
          <w:iCs/>
        </w:rPr>
      </w:pPr>
      <w:r w:rsidRPr="007B4B0B">
        <w:rPr>
          <w:i/>
          <w:iCs/>
        </w:rPr>
        <w:t xml:space="preserve">1 – при оказании 95% запланированных услуг по обслуживанию, выполненных без замечаний; </w:t>
      </w:r>
    </w:p>
    <w:p w:rsidR="00F1558B" w:rsidRPr="007B4B0B" w:rsidRDefault="00F1558B" w:rsidP="00F1558B">
      <w:pPr>
        <w:pStyle w:val="af6"/>
        <w:ind w:left="0"/>
        <w:jc w:val="both"/>
        <w:rPr>
          <w:i/>
          <w:iCs/>
        </w:rPr>
      </w:pPr>
      <w:r w:rsidRPr="007B4B0B">
        <w:rPr>
          <w:i/>
          <w:iCs/>
        </w:rPr>
        <w:t xml:space="preserve">0,9 - при оказании 95% до 60 % запланированных услуг по обслуживанию, выполненных без замечаний; </w:t>
      </w:r>
    </w:p>
    <w:p w:rsidR="00F1558B" w:rsidRPr="007B4B0B" w:rsidRDefault="00F1558B" w:rsidP="00F1558B">
      <w:pPr>
        <w:pStyle w:val="af6"/>
        <w:ind w:left="0"/>
        <w:jc w:val="both"/>
        <w:rPr>
          <w:i/>
          <w:iCs/>
        </w:rPr>
      </w:pPr>
      <w:r w:rsidRPr="007B4B0B">
        <w:rPr>
          <w:i/>
          <w:iCs/>
        </w:rPr>
        <w:t xml:space="preserve">0,7 - при оказании 60% до 30 % запланированных услуг по обслуживанию, выполненных без замечаний; </w:t>
      </w:r>
    </w:p>
    <w:p w:rsidR="00F1558B" w:rsidRPr="007B4B0B" w:rsidRDefault="00F1558B" w:rsidP="00F1558B">
      <w:pPr>
        <w:pStyle w:val="af6"/>
        <w:ind w:left="0"/>
        <w:jc w:val="both"/>
        <w:rPr>
          <w:i/>
          <w:iCs/>
        </w:rPr>
      </w:pPr>
      <w:r w:rsidRPr="007B4B0B">
        <w:rPr>
          <w:i/>
          <w:iCs/>
        </w:rPr>
        <w:t>0,5 - при оказании менее 30% запланированных услуг по обслуживанию, выполненных без замечаний.</w:t>
      </w:r>
    </w:p>
    <w:p w:rsidR="00F1558B" w:rsidRPr="007B4B0B" w:rsidRDefault="00F1558B" w:rsidP="00F1558B">
      <w:pPr>
        <w:tabs>
          <w:tab w:val="left" w:pos="1418"/>
          <w:tab w:val="left" w:pos="1843"/>
        </w:tabs>
        <w:contextualSpacing/>
        <w:jc w:val="both"/>
        <w:rPr>
          <w:bCs/>
          <w:i/>
        </w:rPr>
      </w:pPr>
      <w:r w:rsidRPr="007B4B0B">
        <w:rPr>
          <w:i/>
          <w:iCs/>
        </w:rPr>
        <w:t xml:space="preserve">Коэффициент </w:t>
      </w:r>
      <w:r w:rsidRPr="007B4B0B">
        <w:rPr>
          <w:i/>
          <w:iCs/>
          <w:lang w:val="en-US"/>
        </w:rPr>
        <w:t>W</w:t>
      </w:r>
      <w:r w:rsidRPr="007B4B0B">
        <w:rPr>
          <w:i/>
          <w:iCs/>
        </w:rPr>
        <w:t xml:space="preserve">2 рассчитывается на основании Типового приложения № </w:t>
      </w:r>
      <w:r w:rsidR="00D41391" w:rsidRPr="007B4B0B">
        <w:rPr>
          <w:i/>
          <w:iCs/>
        </w:rPr>
        <w:t>152, утвержденного приказом Государственной компании «Российские автомобильные дороги»,</w:t>
      </w:r>
      <w:r w:rsidRPr="007B4B0B">
        <w:rPr>
          <w:i/>
          <w:iCs/>
        </w:rPr>
        <w:t xml:space="preserve"> Ведомости технического обслуживания трансформаторных (распределительных) подстанций и пунктов питания. </w:t>
      </w:r>
    </w:p>
    <w:p w:rsidR="00F1558B" w:rsidRPr="007B4B0B" w:rsidRDefault="00F1558B" w:rsidP="002C4B3E">
      <w:pPr>
        <w:pStyle w:val="af6"/>
        <w:widowControl w:val="0"/>
        <w:numPr>
          <w:ilvl w:val="0"/>
          <w:numId w:val="376"/>
        </w:numPr>
        <w:tabs>
          <w:tab w:val="left" w:pos="142"/>
        </w:tabs>
        <w:autoSpaceDE w:val="0"/>
        <w:autoSpaceDN w:val="0"/>
        <w:spacing w:line="276" w:lineRule="auto"/>
        <w:ind w:left="0" w:firstLine="0"/>
        <w:jc w:val="both"/>
        <w:rPr>
          <w:bCs/>
        </w:rPr>
      </w:pPr>
      <w:r w:rsidRPr="007B4B0B">
        <w:rPr>
          <w:bCs/>
        </w:rPr>
        <w:t xml:space="preserve">Объем удерживаемых денежных средств (Снижение Стоимости) </w:t>
      </w:r>
      <w:r w:rsidRPr="007B4B0B">
        <w:rPr>
          <w:b/>
          <w:bCs/>
          <w:i/>
        </w:rPr>
        <w:t>Х</w:t>
      </w:r>
      <w:r w:rsidRPr="007B4B0B">
        <w:rPr>
          <w:b/>
          <w:bCs/>
          <w:i/>
          <w:vertAlign w:val="subscript"/>
        </w:rPr>
        <w:t>ЛНО</w:t>
      </w:r>
      <w:r w:rsidRPr="007B4B0B">
        <w:rPr>
          <w:bCs/>
        </w:rPr>
        <w:t>, предъявляемые к оплате за очередной отчетный период рассчитывается по формуле:</w:t>
      </w:r>
    </w:p>
    <w:p w:rsidR="00F1558B" w:rsidRPr="007B4B0B" w:rsidRDefault="00F1558B" w:rsidP="00F1558B">
      <w:pPr>
        <w:pStyle w:val="af6"/>
        <w:tabs>
          <w:tab w:val="left" w:pos="142"/>
        </w:tabs>
        <w:ind w:left="0"/>
        <w:jc w:val="both"/>
        <w:rPr>
          <w:i/>
          <w:iCs/>
        </w:rPr>
      </w:pPr>
    </w:p>
    <w:p w:rsidR="00F1558B" w:rsidRPr="007B4B0B" w:rsidRDefault="00F1558B" w:rsidP="00F1558B">
      <w:pPr>
        <w:pStyle w:val="af6"/>
        <w:tabs>
          <w:tab w:val="left" w:pos="142"/>
        </w:tabs>
        <w:ind w:left="0"/>
        <w:jc w:val="both"/>
        <w:rPr>
          <w:i/>
        </w:rPr>
      </w:pPr>
      <w:r w:rsidRPr="007B4B0B">
        <w:rPr>
          <w:i/>
        </w:rPr>
        <w:lastRenderedPageBreak/>
        <w:t>(указать формулу согласно условиям Договора)</w:t>
      </w:r>
    </w:p>
    <w:p w:rsidR="00F1558B" w:rsidRPr="007B4B0B" w:rsidRDefault="00F1558B" w:rsidP="00F1558B">
      <w:pPr>
        <w:pStyle w:val="af6"/>
        <w:tabs>
          <w:tab w:val="left" w:pos="142"/>
        </w:tabs>
        <w:ind w:left="0"/>
        <w:jc w:val="both"/>
        <w:rPr>
          <w:i/>
        </w:rPr>
      </w:pPr>
    </w:p>
    <w:p w:rsidR="00F1558B" w:rsidRPr="007B4B0B" w:rsidRDefault="00F1558B" w:rsidP="002C4B3E">
      <w:pPr>
        <w:pStyle w:val="af6"/>
        <w:widowControl w:val="0"/>
        <w:numPr>
          <w:ilvl w:val="0"/>
          <w:numId w:val="376"/>
        </w:numPr>
        <w:tabs>
          <w:tab w:val="left" w:pos="142"/>
        </w:tabs>
        <w:autoSpaceDE w:val="0"/>
        <w:autoSpaceDN w:val="0"/>
        <w:ind w:left="0" w:firstLine="0"/>
        <w:jc w:val="both"/>
        <w:rPr>
          <w:bCs/>
        </w:rPr>
      </w:pPr>
      <w:r w:rsidRPr="007B4B0B">
        <w:rPr>
          <w:bCs/>
        </w:rPr>
        <w:t>По результатам проверки Снижение Стоимости услуг по содержанию элементов НО по Договору №______от_________ составила__ _______(___________________________) руб.</w:t>
      </w:r>
    </w:p>
    <w:p w:rsidR="00F1558B" w:rsidRPr="007B4B0B" w:rsidRDefault="00F1558B" w:rsidP="002C4B3E">
      <w:pPr>
        <w:pStyle w:val="af6"/>
        <w:widowControl w:val="0"/>
        <w:numPr>
          <w:ilvl w:val="0"/>
          <w:numId w:val="376"/>
        </w:numPr>
        <w:tabs>
          <w:tab w:val="left" w:pos="142"/>
        </w:tabs>
        <w:autoSpaceDE w:val="0"/>
        <w:autoSpaceDN w:val="0"/>
        <w:ind w:left="0" w:firstLine="0"/>
        <w:jc w:val="both"/>
        <w:rPr>
          <w:bCs/>
        </w:rPr>
      </w:pPr>
      <w:r w:rsidRPr="007B4B0B">
        <w:rPr>
          <w:iCs/>
        </w:rPr>
        <w:t xml:space="preserve">Стоимость услуг, оказанных на Объекте, к оплате за отчетный период </w:t>
      </w:r>
      <w:r w:rsidRPr="007B4B0B">
        <w:rPr>
          <w:bCs/>
        </w:rPr>
        <w:t>составляет ________________________________(___________________________) руб.</w:t>
      </w:r>
    </w:p>
    <w:p w:rsidR="00F1558B" w:rsidRPr="007B4B0B" w:rsidRDefault="00F1558B" w:rsidP="00F1558B">
      <w:pPr>
        <w:tabs>
          <w:tab w:val="left" w:pos="1418"/>
        </w:tabs>
        <w:ind w:left="567" w:hanging="567"/>
        <w:rPr>
          <w:bCs/>
        </w:rPr>
      </w:pPr>
    </w:p>
    <w:p w:rsidR="00F1558B" w:rsidRPr="007B4B0B" w:rsidRDefault="00F1558B" w:rsidP="00F1558B">
      <w:pPr>
        <w:tabs>
          <w:tab w:val="left" w:pos="1418"/>
        </w:tabs>
        <w:ind w:left="567" w:hanging="567"/>
        <w:rPr>
          <w:bCs/>
        </w:rPr>
      </w:pPr>
      <w:r w:rsidRPr="007B4B0B">
        <w:rPr>
          <w:bCs/>
        </w:rPr>
        <w:t xml:space="preserve">Подписи: </w:t>
      </w:r>
    </w:p>
    <w:p w:rsidR="00F1558B" w:rsidRPr="007B4B0B" w:rsidRDefault="00F1558B" w:rsidP="00F1558B">
      <w:pPr>
        <w:tabs>
          <w:tab w:val="left" w:pos="1418"/>
        </w:tabs>
        <w:ind w:left="567" w:hanging="567"/>
      </w:pPr>
      <w:r w:rsidRPr="007B4B0B">
        <w:t>Представитель Заказчика:  ____________________ /______________ /</w:t>
      </w:r>
    </w:p>
    <w:p w:rsidR="00F1558B" w:rsidRPr="007B4B0B" w:rsidRDefault="00F1558B" w:rsidP="00F1558B">
      <w:pPr>
        <w:tabs>
          <w:tab w:val="left" w:pos="1418"/>
        </w:tabs>
        <w:ind w:left="567" w:hanging="567"/>
      </w:pPr>
    </w:p>
    <w:p w:rsidR="00217D16" w:rsidRPr="002878FA" w:rsidRDefault="00F1558B" w:rsidP="00630938">
      <w:pPr>
        <w:tabs>
          <w:tab w:val="left" w:pos="1418"/>
        </w:tabs>
        <w:ind w:left="567" w:hanging="567"/>
      </w:pPr>
      <w:r w:rsidRPr="007B4B0B">
        <w:t>Представитель Подрядчика: ___________________ /______________/</w:t>
      </w:r>
      <w:bookmarkStart w:id="1" w:name="_GoBack"/>
      <w:bookmarkEnd w:id="0"/>
      <w:bookmarkEnd w:id="1"/>
    </w:p>
    <w:sectPr w:rsidR="00217D16" w:rsidRPr="002878FA" w:rsidSect="00630938">
      <w:footerReference w:type="default" r:id="rId11"/>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4B4" w:rsidRDefault="004F34B4" w:rsidP="00520FE2">
      <w:r>
        <w:separator/>
      </w:r>
    </w:p>
  </w:endnote>
  <w:endnote w:type="continuationSeparator" w:id="0">
    <w:p w:rsidR="004F34B4" w:rsidRDefault="004F34B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4B4" w:rsidRDefault="004F34B4" w:rsidP="00520FE2">
      <w:r>
        <w:separator/>
      </w:r>
    </w:p>
  </w:footnote>
  <w:footnote w:type="continuationSeparator" w:id="0">
    <w:p w:rsidR="004F34B4" w:rsidRDefault="004F34B4"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34B4"/>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30938"/>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E5B06-9E80-4504-8876-10060103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2025-11-25T11:48:00Z</dcterms:created>
  <dcterms:modified xsi:type="dcterms:W3CDTF">2025-11-25T11:48:00Z</dcterms:modified>
</cp:coreProperties>
</file>