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EB" w:rsidRPr="007B4B0B" w:rsidRDefault="003256EB" w:rsidP="00540C09">
      <w:pPr>
        <w:ind w:left="10632"/>
        <w:jc w:val="center"/>
      </w:pPr>
      <w:bookmarkStart w:id="0" w:name="_Toc509910356"/>
      <w:r w:rsidRPr="007B4B0B">
        <w:t>УТВЕРЖДЕНО</w:t>
      </w:r>
    </w:p>
    <w:p w:rsidR="003256EB" w:rsidRPr="007B4B0B" w:rsidRDefault="003256EB" w:rsidP="00540C09">
      <w:pPr>
        <w:ind w:left="10632"/>
        <w:jc w:val="center"/>
      </w:pPr>
      <w:r w:rsidRPr="007B4B0B">
        <w:t>приказом Государственной компании</w:t>
      </w:r>
    </w:p>
    <w:p w:rsidR="003256EB" w:rsidRPr="007B4B0B" w:rsidRDefault="003256EB" w:rsidP="00540C09">
      <w:pPr>
        <w:ind w:left="10632"/>
        <w:jc w:val="center"/>
      </w:pPr>
      <w:r w:rsidRPr="007B4B0B">
        <w:t>«Российские автомобильные дороги»</w:t>
      </w:r>
    </w:p>
    <w:p w:rsidR="003256EB" w:rsidRPr="007B4B0B" w:rsidRDefault="0054569C" w:rsidP="00540C09">
      <w:pPr>
        <w:ind w:left="10632"/>
        <w:jc w:val="center"/>
      </w:pPr>
      <w:r>
        <w:t>от «21» ноября 2025 г. № 508</w:t>
      </w: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Типовое приложение № 72. Форма по предоставлению ежемесячной информации о наличии и расходе противогололедных материалов</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tabs>
          <w:tab w:val="left" w:pos="1418"/>
        </w:tabs>
        <w:autoSpaceDE w:val="0"/>
        <w:autoSpaceDN w:val="0"/>
        <w:ind w:left="566"/>
        <w:jc w:val="center"/>
        <w:rPr>
          <w:b/>
          <w:sz w:val="22"/>
          <w:szCs w:val="22"/>
          <w:lang w:bidi="ru-RU"/>
        </w:rPr>
      </w:pPr>
    </w:p>
    <w:p w:rsidR="003256EB" w:rsidRPr="007B4B0B" w:rsidRDefault="003256EB" w:rsidP="003256EB">
      <w:pPr>
        <w:widowControl w:val="0"/>
        <w:tabs>
          <w:tab w:val="left" w:pos="1418"/>
        </w:tabs>
        <w:autoSpaceDE w:val="0"/>
        <w:autoSpaceDN w:val="0"/>
        <w:ind w:left="566"/>
        <w:jc w:val="center"/>
        <w:rPr>
          <w:b/>
          <w:sz w:val="22"/>
          <w:szCs w:val="22"/>
          <w:lang w:bidi="ru-RU"/>
        </w:rPr>
      </w:pPr>
      <w:r w:rsidRPr="007B4B0B">
        <w:rPr>
          <w:b/>
          <w:sz w:val="22"/>
          <w:szCs w:val="22"/>
          <w:lang w:bidi="ru-RU"/>
        </w:rPr>
        <w:t>Информация о наличии и расходе противогололедных материалов (ежемесячно)</w:t>
      </w:r>
    </w:p>
    <w:p w:rsidR="003256EB" w:rsidRPr="007B4B0B" w:rsidRDefault="003256EB" w:rsidP="003256EB">
      <w:pPr>
        <w:widowControl w:val="0"/>
        <w:tabs>
          <w:tab w:val="left" w:pos="1418"/>
        </w:tabs>
        <w:autoSpaceDE w:val="0"/>
        <w:autoSpaceDN w:val="0"/>
        <w:ind w:left="566"/>
        <w:jc w:val="center"/>
        <w:rPr>
          <w:b/>
          <w:sz w:val="22"/>
          <w:szCs w:val="22"/>
          <w:lang w:bidi="ru-RU"/>
        </w:rPr>
      </w:pPr>
      <w:r w:rsidRPr="007B4B0B">
        <w:rPr>
          <w:b/>
          <w:sz w:val="22"/>
          <w:szCs w:val="22"/>
          <w:lang w:bidi="ru-RU"/>
        </w:rPr>
        <w:t>по состоянию на «___» __________ 20__ г. за период с «__» ____20__г по «__» ____20__г</w:t>
      </w:r>
    </w:p>
    <w:p w:rsidR="003256EB" w:rsidRPr="007B4B0B" w:rsidRDefault="003256EB" w:rsidP="003256EB">
      <w:pPr>
        <w:widowControl w:val="0"/>
        <w:tabs>
          <w:tab w:val="left" w:pos="1418"/>
        </w:tabs>
        <w:autoSpaceDE w:val="0"/>
        <w:autoSpaceDN w:val="0"/>
        <w:ind w:left="566"/>
        <w:jc w:val="center"/>
        <w:rPr>
          <w:b/>
          <w:sz w:val="22"/>
          <w:szCs w:val="22"/>
          <w:lang w:bidi="ru-RU"/>
        </w:rPr>
      </w:pPr>
    </w:p>
    <w:p w:rsidR="003256EB" w:rsidRPr="007B4B0B" w:rsidRDefault="003256EB" w:rsidP="003256EB">
      <w:pPr>
        <w:widowControl w:val="0"/>
        <w:tabs>
          <w:tab w:val="left" w:pos="1418"/>
        </w:tabs>
        <w:autoSpaceDE w:val="0"/>
        <w:autoSpaceDN w:val="0"/>
        <w:ind w:left="566"/>
        <w:jc w:val="center"/>
        <w:rPr>
          <w:b/>
          <w:sz w:val="22"/>
          <w:szCs w:val="22"/>
          <w:u w:val="single"/>
          <w:lang w:bidi="ru-RU"/>
        </w:rPr>
      </w:pPr>
      <w:r w:rsidRPr="007B4B0B">
        <w:rPr>
          <w:b/>
          <w:sz w:val="22"/>
          <w:szCs w:val="22"/>
          <w:lang w:bidi="ru-RU"/>
        </w:rPr>
        <w:t>Договор № __ от ___ по участку дороги _</w:t>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r w:rsidR="00000714" w:rsidRPr="007B4B0B">
        <w:rPr>
          <w:b/>
          <w:sz w:val="22"/>
          <w:szCs w:val="22"/>
          <w:u w:val="single"/>
          <w:lang w:bidi="ru-RU"/>
        </w:rPr>
        <w:tab/>
      </w:r>
    </w:p>
    <w:p w:rsidR="003256EB" w:rsidRPr="007B4B0B" w:rsidRDefault="003256EB" w:rsidP="003256EB">
      <w:pPr>
        <w:widowControl w:val="0"/>
        <w:tabs>
          <w:tab w:val="left" w:pos="1418"/>
        </w:tabs>
        <w:autoSpaceDE w:val="0"/>
        <w:autoSpaceDN w:val="0"/>
        <w:ind w:left="566"/>
        <w:jc w:val="center"/>
        <w:rPr>
          <w:i/>
          <w:sz w:val="20"/>
          <w:szCs w:val="20"/>
          <w:lang w:bidi="ru-RU"/>
        </w:rPr>
      </w:pPr>
      <w:r w:rsidRPr="007B4B0B">
        <w:rPr>
          <w:i/>
          <w:sz w:val="20"/>
          <w:szCs w:val="20"/>
          <w:lang w:bidi="ru-RU"/>
        </w:rPr>
        <w:t xml:space="preserve">                                                                                                         (указать наименование и границы участка дороги)</w:t>
      </w: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590"/>
        <w:gridCol w:w="1846"/>
        <w:gridCol w:w="711"/>
        <w:gridCol w:w="1107"/>
        <w:gridCol w:w="711"/>
        <w:gridCol w:w="1107"/>
        <w:gridCol w:w="711"/>
        <w:gridCol w:w="1107"/>
        <w:gridCol w:w="711"/>
        <w:gridCol w:w="1107"/>
        <w:gridCol w:w="711"/>
        <w:gridCol w:w="1107"/>
        <w:gridCol w:w="711"/>
        <w:gridCol w:w="1107"/>
      </w:tblGrid>
      <w:tr w:rsidR="003256EB" w:rsidRPr="007B4B0B" w:rsidTr="003256EB">
        <w:trPr>
          <w:trHeight w:val="1021"/>
        </w:trPr>
        <w:tc>
          <w:tcPr>
            <w:tcW w:w="235" w:type="pct"/>
            <w:vMerge w:val="restart"/>
            <w:shd w:val="clear" w:color="auto" w:fill="auto"/>
            <w:noWrap/>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 п/п</w:t>
            </w:r>
          </w:p>
        </w:tc>
        <w:tc>
          <w:tcPr>
            <w:tcW w:w="1188" w:type="pct"/>
            <w:gridSpan w:val="2"/>
            <w:vAlign w:val="center"/>
          </w:tcPr>
          <w:p w:rsidR="003256EB" w:rsidRPr="007B4B0B" w:rsidRDefault="003256EB" w:rsidP="003256EB">
            <w:pPr>
              <w:widowControl w:val="0"/>
              <w:autoSpaceDE w:val="0"/>
              <w:autoSpaceDN w:val="0"/>
              <w:jc w:val="center"/>
              <w:rPr>
                <w:color w:val="000000"/>
                <w:sz w:val="20"/>
                <w:szCs w:val="20"/>
                <w:lang w:bidi="ru-RU"/>
              </w:rPr>
            </w:pPr>
            <w:r w:rsidRPr="007B4B0B">
              <w:rPr>
                <w:sz w:val="22"/>
                <w:szCs w:val="22"/>
                <w:lang w:bidi="ru-RU"/>
              </w:rPr>
              <w:t>Места размещения ПГМ</w:t>
            </w:r>
          </w:p>
        </w:tc>
        <w:tc>
          <w:tcPr>
            <w:tcW w:w="586" w:type="pct"/>
            <w:gridSpan w:val="2"/>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План заготовки ПГМ</w:t>
            </w:r>
            <w:r w:rsidRPr="007B4B0B">
              <w:rPr>
                <w:color w:val="000000"/>
                <w:sz w:val="20"/>
                <w:szCs w:val="20"/>
                <w:vertAlign w:val="superscript"/>
                <w:lang w:bidi="ru-RU"/>
              </w:rPr>
              <w:footnoteReference w:id="1"/>
            </w:r>
          </w:p>
        </w:tc>
        <w:tc>
          <w:tcPr>
            <w:tcW w:w="586" w:type="pct"/>
            <w:gridSpan w:val="2"/>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Количество израсходованных ПГМ</w:t>
            </w:r>
          </w:p>
        </w:tc>
        <w:tc>
          <w:tcPr>
            <w:tcW w:w="586" w:type="pct"/>
            <w:gridSpan w:val="2"/>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План заготовки ПГМ</w:t>
            </w:r>
            <w:r w:rsidRPr="007B4B0B">
              <w:rPr>
                <w:color w:val="000000"/>
                <w:sz w:val="20"/>
                <w:szCs w:val="20"/>
                <w:vertAlign w:val="superscript"/>
                <w:lang w:bidi="ru-RU"/>
              </w:rPr>
              <w:footnoteReference w:id="2"/>
            </w:r>
          </w:p>
        </w:tc>
        <w:tc>
          <w:tcPr>
            <w:tcW w:w="586" w:type="pct"/>
            <w:gridSpan w:val="2"/>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Наличие ПГМ на конец отчетного периода</w:t>
            </w:r>
          </w:p>
        </w:tc>
        <w:tc>
          <w:tcPr>
            <w:tcW w:w="586" w:type="pct"/>
            <w:gridSpan w:val="2"/>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Наличие ПГМ</w:t>
            </w:r>
            <w:r w:rsidRPr="007B4B0B">
              <w:rPr>
                <w:color w:val="000000"/>
                <w:sz w:val="20"/>
                <w:szCs w:val="20"/>
                <w:vertAlign w:val="superscript"/>
                <w:lang w:bidi="ru-RU"/>
              </w:rPr>
              <w:footnoteReference w:id="3"/>
            </w:r>
          </w:p>
        </w:tc>
        <w:tc>
          <w:tcPr>
            <w:tcW w:w="646" w:type="pct"/>
            <w:gridSpan w:val="2"/>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color w:val="000000"/>
                <w:sz w:val="20"/>
                <w:szCs w:val="20"/>
                <w:lang w:bidi="ru-RU"/>
              </w:rPr>
              <w:t>Изменение объема ПГМ</w:t>
            </w:r>
            <w:r w:rsidRPr="007B4B0B">
              <w:rPr>
                <w:color w:val="000000"/>
                <w:sz w:val="20"/>
                <w:szCs w:val="20"/>
                <w:vertAlign w:val="superscript"/>
                <w:lang w:bidi="ru-RU"/>
              </w:rPr>
              <w:footnoteReference w:id="4"/>
            </w:r>
          </w:p>
        </w:tc>
      </w:tr>
      <w:tr w:rsidR="003256EB" w:rsidRPr="007B4B0B" w:rsidTr="003256EB">
        <w:trPr>
          <w:trHeight w:val="823"/>
        </w:trPr>
        <w:tc>
          <w:tcPr>
            <w:tcW w:w="235" w:type="pct"/>
            <w:vMerge/>
            <w:vAlign w:val="center"/>
            <w:hideMark/>
          </w:tcPr>
          <w:p w:rsidR="003256EB" w:rsidRPr="007B4B0B" w:rsidRDefault="003256EB" w:rsidP="003256EB">
            <w:pPr>
              <w:widowControl w:val="0"/>
              <w:autoSpaceDE w:val="0"/>
              <w:autoSpaceDN w:val="0"/>
              <w:jc w:val="center"/>
              <w:rPr>
                <w:color w:val="000000"/>
                <w:sz w:val="20"/>
                <w:szCs w:val="20"/>
                <w:lang w:bidi="ru-RU"/>
              </w:rPr>
            </w:pPr>
          </w:p>
        </w:tc>
        <w:tc>
          <w:tcPr>
            <w:tcW w:w="550" w:type="pct"/>
            <w:vAlign w:val="center"/>
          </w:tcPr>
          <w:p w:rsidR="003256EB" w:rsidRPr="007B4B0B" w:rsidRDefault="003256EB" w:rsidP="003256EB">
            <w:pPr>
              <w:widowControl w:val="0"/>
              <w:autoSpaceDE w:val="0"/>
              <w:autoSpaceDN w:val="0"/>
              <w:jc w:val="center"/>
              <w:rPr>
                <w:b/>
                <w:bCs/>
                <w:color w:val="000000"/>
                <w:sz w:val="20"/>
                <w:szCs w:val="20"/>
                <w:lang w:bidi="ru-RU"/>
              </w:rPr>
            </w:pPr>
            <w:r w:rsidRPr="007B4B0B">
              <w:rPr>
                <w:sz w:val="22"/>
                <w:szCs w:val="22"/>
                <w:lang w:bidi="ru-RU"/>
              </w:rPr>
              <w:t>Наименование склада</w:t>
            </w:r>
          </w:p>
        </w:tc>
        <w:tc>
          <w:tcPr>
            <w:tcW w:w="638" w:type="pct"/>
            <w:vAlign w:val="center"/>
          </w:tcPr>
          <w:p w:rsidR="003256EB" w:rsidRPr="007B4B0B" w:rsidRDefault="003256EB" w:rsidP="003256EB">
            <w:pPr>
              <w:widowControl w:val="0"/>
              <w:autoSpaceDE w:val="0"/>
              <w:autoSpaceDN w:val="0"/>
              <w:jc w:val="center"/>
              <w:rPr>
                <w:b/>
                <w:bCs/>
                <w:color w:val="000000"/>
                <w:sz w:val="20"/>
                <w:szCs w:val="20"/>
                <w:lang w:bidi="ru-RU"/>
              </w:rPr>
            </w:pPr>
            <w:r w:rsidRPr="007B4B0B">
              <w:rPr>
                <w:sz w:val="22"/>
                <w:szCs w:val="22"/>
                <w:lang w:bidi="ru-RU"/>
              </w:rPr>
              <w:t>адрес местоположения, км__+__ (слева, справа)</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b/>
                <w:bCs/>
                <w:color w:val="000000"/>
                <w:sz w:val="20"/>
                <w:szCs w:val="20"/>
                <w:lang w:bidi="ru-RU"/>
              </w:rPr>
              <w:t>ПСС, т</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b/>
                <w:bCs/>
                <w:color w:val="000000"/>
                <w:sz w:val="20"/>
                <w:szCs w:val="20"/>
                <w:lang w:bidi="ru-RU"/>
              </w:rPr>
              <w:t>Хлориды, т</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b/>
                <w:bCs/>
                <w:color w:val="000000"/>
                <w:sz w:val="20"/>
                <w:szCs w:val="20"/>
                <w:lang w:bidi="ru-RU"/>
              </w:rPr>
              <w:t>ПСС, т</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b/>
                <w:bCs/>
                <w:color w:val="000000"/>
                <w:sz w:val="20"/>
                <w:szCs w:val="20"/>
                <w:lang w:bidi="ru-RU"/>
              </w:rPr>
              <w:t>Хлориды, т</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0"/>
                <w:lang w:bidi="ru-RU"/>
              </w:rPr>
            </w:pPr>
            <w:r w:rsidRPr="007B4B0B">
              <w:rPr>
                <w:b/>
                <w:bCs/>
                <w:color w:val="000000"/>
                <w:sz w:val="20"/>
                <w:szCs w:val="20"/>
                <w:lang w:bidi="ru-RU"/>
              </w:rPr>
              <w:t>ПСС, т</w:t>
            </w:r>
            <w:r w:rsidRPr="007B4B0B">
              <w:rPr>
                <w:color w:val="000000"/>
                <w:sz w:val="20"/>
                <w:szCs w:val="20"/>
                <w:lang w:bidi="ru-RU"/>
              </w:rPr>
              <w:t xml:space="preserve">                        </w:t>
            </w:r>
          </w:p>
        </w:tc>
        <w:tc>
          <w:tcPr>
            <w:tcW w:w="356" w:type="pct"/>
            <w:shd w:val="clear" w:color="auto" w:fill="auto"/>
            <w:vAlign w:val="center"/>
            <w:hideMark/>
          </w:tcPr>
          <w:p w:rsidR="003256EB" w:rsidRPr="007B4B0B" w:rsidRDefault="003256EB" w:rsidP="003256EB">
            <w:pPr>
              <w:widowControl w:val="0"/>
              <w:autoSpaceDE w:val="0"/>
              <w:autoSpaceDN w:val="0"/>
              <w:jc w:val="center"/>
              <w:rPr>
                <w:i/>
                <w:iCs/>
                <w:color w:val="000000"/>
                <w:sz w:val="20"/>
                <w:szCs w:val="20"/>
                <w:vertAlign w:val="superscript"/>
                <w:lang w:bidi="ru-RU"/>
              </w:rPr>
            </w:pPr>
            <w:r w:rsidRPr="007B4B0B">
              <w:rPr>
                <w:b/>
                <w:bCs/>
                <w:color w:val="000000"/>
                <w:sz w:val="20"/>
                <w:szCs w:val="20"/>
                <w:lang w:bidi="ru-RU"/>
              </w:rPr>
              <w:t xml:space="preserve">Хлориды, т                                  </w:t>
            </w:r>
            <w:r w:rsidRPr="007B4B0B">
              <w:rPr>
                <w:color w:val="000000"/>
                <w:sz w:val="20"/>
                <w:szCs w:val="20"/>
                <w:lang w:bidi="ru-RU"/>
              </w:rPr>
              <w:t xml:space="preserve"> </w:t>
            </w:r>
            <w:r w:rsidRPr="007B4B0B">
              <w:rPr>
                <w:b/>
                <w:bCs/>
                <w:color w:val="000000"/>
                <w:sz w:val="20"/>
                <w:szCs w:val="20"/>
                <w:lang w:bidi="ru-RU"/>
              </w:rPr>
              <w:t xml:space="preserve">  </w:t>
            </w:r>
            <w:r w:rsidRPr="007B4B0B">
              <w:rPr>
                <w:i/>
                <w:iCs/>
                <w:color w:val="000000"/>
                <w:sz w:val="20"/>
                <w:szCs w:val="20"/>
                <w:lang w:bidi="ru-RU"/>
              </w:rPr>
              <w:t xml:space="preserve">                      </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0"/>
                <w:vertAlign w:val="superscript"/>
                <w:lang w:bidi="ru-RU"/>
              </w:rPr>
            </w:pPr>
            <w:r w:rsidRPr="007B4B0B">
              <w:rPr>
                <w:b/>
                <w:bCs/>
                <w:color w:val="000000"/>
                <w:sz w:val="20"/>
                <w:szCs w:val="20"/>
                <w:lang w:bidi="ru-RU"/>
              </w:rPr>
              <w:t>ПСС, т</w:t>
            </w:r>
            <w:r w:rsidRPr="007B4B0B">
              <w:rPr>
                <w:color w:val="000000"/>
                <w:sz w:val="18"/>
                <w:szCs w:val="18"/>
                <w:lang w:bidi="ru-RU"/>
              </w:rPr>
              <w:t xml:space="preserve">                            </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0"/>
                <w:vertAlign w:val="superscript"/>
                <w:lang w:bidi="ru-RU"/>
              </w:rPr>
            </w:pPr>
            <w:r w:rsidRPr="007B4B0B">
              <w:rPr>
                <w:b/>
                <w:bCs/>
                <w:color w:val="000000"/>
                <w:sz w:val="20"/>
                <w:szCs w:val="20"/>
                <w:lang w:bidi="ru-RU"/>
              </w:rPr>
              <w:t xml:space="preserve">Хлориды, т                                  </w:t>
            </w:r>
            <w:r w:rsidRPr="007B4B0B">
              <w:rPr>
                <w:color w:val="000000"/>
                <w:sz w:val="20"/>
                <w:szCs w:val="20"/>
                <w:lang w:bidi="ru-RU"/>
              </w:rPr>
              <w:t xml:space="preserve">                              </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0"/>
                <w:vertAlign w:val="superscript"/>
                <w:lang w:bidi="ru-RU"/>
              </w:rPr>
            </w:pPr>
            <w:r w:rsidRPr="007B4B0B">
              <w:rPr>
                <w:b/>
                <w:bCs/>
                <w:color w:val="000000"/>
                <w:sz w:val="20"/>
                <w:szCs w:val="20"/>
                <w:lang w:bidi="ru-RU"/>
              </w:rPr>
              <w:t xml:space="preserve">ПСС, т                                   </w:t>
            </w:r>
            <w:r w:rsidRPr="007B4B0B">
              <w:rPr>
                <w:color w:val="000000"/>
                <w:sz w:val="20"/>
                <w:szCs w:val="20"/>
                <w:lang w:bidi="ru-RU"/>
              </w:rPr>
              <w:t xml:space="preserve"> </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0"/>
                <w:vertAlign w:val="superscript"/>
                <w:lang w:bidi="ru-RU"/>
              </w:rPr>
            </w:pPr>
            <w:r w:rsidRPr="007B4B0B">
              <w:rPr>
                <w:b/>
                <w:bCs/>
                <w:color w:val="000000"/>
                <w:sz w:val="20"/>
                <w:szCs w:val="20"/>
                <w:lang w:bidi="ru-RU"/>
              </w:rPr>
              <w:t xml:space="preserve">Хлориды, т                                   </w:t>
            </w:r>
            <w:r w:rsidRPr="007B4B0B">
              <w:rPr>
                <w:color w:val="000000"/>
                <w:sz w:val="20"/>
                <w:szCs w:val="20"/>
                <w:lang w:bidi="ru-RU"/>
              </w:rPr>
              <w:t xml:space="preserve"> </w:t>
            </w:r>
            <w:r w:rsidRPr="007B4B0B">
              <w:rPr>
                <w:b/>
                <w:bCs/>
                <w:color w:val="000000"/>
                <w:sz w:val="20"/>
                <w:szCs w:val="20"/>
                <w:lang w:bidi="ru-RU"/>
              </w:rPr>
              <w:t xml:space="preserve">                                    </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0"/>
                <w:vertAlign w:val="superscript"/>
                <w:lang w:bidi="ru-RU"/>
              </w:rPr>
            </w:pPr>
            <w:r w:rsidRPr="007B4B0B">
              <w:rPr>
                <w:b/>
                <w:bCs/>
                <w:color w:val="000000"/>
                <w:sz w:val="20"/>
                <w:szCs w:val="20"/>
                <w:lang w:bidi="ru-RU"/>
              </w:rPr>
              <w:t xml:space="preserve">ПСС, т                                   </w:t>
            </w:r>
            <w:r w:rsidRPr="007B4B0B">
              <w:rPr>
                <w:color w:val="000000"/>
                <w:sz w:val="20"/>
                <w:szCs w:val="20"/>
                <w:lang w:bidi="ru-RU"/>
              </w:rPr>
              <w:t xml:space="preserve"> </w:t>
            </w:r>
          </w:p>
        </w:tc>
        <w:tc>
          <w:tcPr>
            <w:tcW w:w="416" w:type="pct"/>
            <w:shd w:val="clear" w:color="auto" w:fill="auto"/>
            <w:vAlign w:val="center"/>
            <w:hideMark/>
          </w:tcPr>
          <w:p w:rsidR="003256EB" w:rsidRPr="007B4B0B" w:rsidRDefault="003256EB" w:rsidP="003256EB">
            <w:pPr>
              <w:widowControl w:val="0"/>
              <w:autoSpaceDE w:val="0"/>
              <w:autoSpaceDN w:val="0"/>
              <w:jc w:val="center"/>
              <w:rPr>
                <w:color w:val="000000"/>
                <w:sz w:val="20"/>
                <w:szCs w:val="20"/>
                <w:vertAlign w:val="superscript"/>
                <w:lang w:bidi="ru-RU"/>
              </w:rPr>
            </w:pPr>
            <w:r w:rsidRPr="007B4B0B">
              <w:rPr>
                <w:b/>
                <w:bCs/>
                <w:color w:val="000000"/>
                <w:sz w:val="20"/>
                <w:szCs w:val="20"/>
                <w:lang w:bidi="ru-RU"/>
              </w:rPr>
              <w:t xml:space="preserve">Хлориды, т                                      </w:t>
            </w:r>
            <w:r w:rsidRPr="007B4B0B">
              <w:rPr>
                <w:color w:val="000000"/>
                <w:sz w:val="20"/>
                <w:szCs w:val="20"/>
                <w:lang w:bidi="ru-RU"/>
              </w:rPr>
              <w:t xml:space="preserve"> </w:t>
            </w:r>
            <w:r w:rsidRPr="007B4B0B">
              <w:rPr>
                <w:b/>
                <w:bCs/>
                <w:color w:val="000000"/>
                <w:sz w:val="20"/>
                <w:szCs w:val="20"/>
                <w:lang w:bidi="ru-RU"/>
              </w:rPr>
              <w:t xml:space="preserve">                                    </w:t>
            </w:r>
          </w:p>
        </w:tc>
      </w:tr>
      <w:tr w:rsidR="003256EB" w:rsidRPr="007B4B0B" w:rsidTr="003256EB">
        <w:trPr>
          <w:trHeight w:val="70"/>
        </w:trPr>
        <w:tc>
          <w:tcPr>
            <w:tcW w:w="235"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w:t>
            </w:r>
          </w:p>
        </w:tc>
        <w:tc>
          <w:tcPr>
            <w:tcW w:w="550" w:type="pct"/>
            <w:vAlign w:val="center"/>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2</w:t>
            </w:r>
          </w:p>
        </w:tc>
        <w:tc>
          <w:tcPr>
            <w:tcW w:w="638" w:type="pct"/>
            <w:vAlign w:val="center"/>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3</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4</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5</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6</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7</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8</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9</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10</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11</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12</w:t>
            </w: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13</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14</w:t>
            </w:r>
          </w:p>
        </w:tc>
        <w:tc>
          <w:tcPr>
            <w:tcW w:w="416" w:type="pct"/>
            <w:shd w:val="clear" w:color="auto" w:fill="auto"/>
            <w:vAlign w:val="center"/>
            <w:hideMark/>
          </w:tcPr>
          <w:p w:rsidR="003256EB" w:rsidRPr="007B4B0B" w:rsidRDefault="003256EB" w:rsidP="003256EB">
            <w:pPr>
              <w:widowControl w:val="0"/>
              <w:autoSpaceDE w:val="0"/>
              <w:autoSpaceDN w:val="0"/>
              <w:jc w:val="center"/>
              <w:rPr>
                <w:color w:val="000000"/>
                <w:sz w:val="20"/>
                <w:szCs w:val="22"/>
                <w:lang w:bidi="ru-RU"/>
              </w:rPr>
            </w:pPr>
            <w:r w:rsidRPr="007B4B0B">
              <w:rPr>
                <w:color w:val="000000"/>
                <w:sz w:val="20"/>
                <w:szCs w:val="22"/>
                <w:lang w:bidi="ru-RU"/>
              </w:rPr>
              <w:t>15</w:t>
            </w:r>
          </w:p>
        </w:tc>
      </w:tr>
      <w:tr w:rsidR="003256EB" w:rsidRPr="007B4B0B" w:rsidTr="003256EB">
        <w:tc>
          <w:tcPr>
            <w:tcW w:w="235"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1</w:t>
            </w:r>
          </w:p>
        </w:tc>
        <w:tc>
          <w:tcPr>
            <w:tcW w:w="550" w:type="pct"/>
            <w:vAlign w:val="center"/>
          </w:tcPr>
          <w:p w:rsidR="003256EB" w:rsidRPr="007B4B0B" w:rsidRDefault="003256EB" w:rsidP="003256EB">
            <w:pPr>
              <w:widowControl w:val="0"/>
              <w:autoSpaceDE w:val="0"/>
              <w:autoSpaceDN w:val="0"/>
              <w:jc w:val="center"/>
              <w:rPr>
                <w:i/>
                <w:color w:val="000000"/>
                <w:sz w:val="20"/>
                <w:szCs w:val="22"/>
                <w:lang w:bidi="ru-RU"/>
              </w:rPr>
            </w:pPr>
            <w:r w:rsidRPr="007B4B0B">
              <w:rPr>
                <w:i/>
                <w:color w:val="000000"/>
                <w:sz w:val="20"/>
                <w:szCs w:val="22"/>
                <w:lang w:bidi="ru-RU"/>
              </w:rPr>
              <w:t>Основной склад</w:t>
            </w:r>
          </w:p>
        </w:tc>
        <w:tc>
          <w:tcPr>
            <w:tcW w:w="638" w:type="pct"/>
            <w:vAlign w:val="center"/>
          </w:tcPr>
          <w:p w:rsidR="003256EB" w:rsidRPr="007B4B0B" w:rsidRDefault="003256EB" w:rsidP="003256EB">
            <w:pPr>
              <w:widowControl w:val="0"/>
              <w:autoSpaceDE w:val="0"/>
              <w:autoSpaceDN w:val="0"/>
              <w:jc w:val="center"/>
              <w:rPr>
                <w:i/>
                <w:color w:val="000000"/>
                <w:sz w:val="20"/>
                <w:szCs w:val="22"/>
                <w:lang w:bidi="ru-RU"/>
              </w:rPr>
            </w:pPr>
            <w:r w:rsidRPr="007B4B0B">
              <w:rPr>
                <w:i/>
                <w:color w:val="000000"/>
                <w:sz w:val="20"/>
                <w:szCs w:val="22"/>
                <w:lang w:bidi="ru-RU"/>
              </w:rPr>
              <w:t>120+150 (слева)</w:t>
            </w: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416" w:type="pct"/>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r>
      <w:tr w:rsidR="003256EB" w:rsidRPr="007B4B0B" w:rsidTr="003256EB">
        <w:tc>
          <w:tcPr>
            <w:tcW w:w="235"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1.1.</w:t>
            </w:r>
          </w:p>
        </w:tc>
        <w:tc>
          <w:tcPr>
            <w:tcW w:w="550" w:type="pct"/>
            <w:vAlign w:val="center"/>
          </w:tcPr>
          <w:p w:rsidR="003256EB" w:rsidRPr="007B4B0B" w:rsidRDefault="003256EB" w:rsidP="003256EB">
            <w:pPr>
              <w:widowControl w:val="0"/>
              <w:autoSpaceDE w:val="0"/>
              <w:autoSpaceDN w:val="0"/>
              <w:jc w:val="center"/>
              <w:rPr>
                <w:i/>
                <w:color w:val="000000"/>
                <w:sz w:val="20"/>
                <w:szCs w:val="22"/>
                <w:lang w:bidi="ru-RU"/>
              </w:rPr>
            </w:pPr>
            <w:r w:rsidRPr="007B4B0B">
              <w:rPr>
                <w:i/>
                <w:color w:val="000000"/>
                <w:sz w:val="20"/>
                <w:szCs w:val="22"/>
                <w:lang w:bidi="ru-RU"/>
              </w:rPr>
              <w:t>Склад на МУ-1</w:t>
            </w:r>
          </w:p>
        </w:tc>
        <w:tc>
          <w:tcPr>
            <w:tcW w:w="638" w:type="pct"/>
            <w:vAlign w:val="center"/>
          </w:tcPr>
          <w:p w:rsidR="003256EB" w:rsidRPr="007B4B0B" w:rsidRDefault="003256EB" w:rsidP="003256EB">
            <w:pPr>
              <w:widowControl w:val="0"/>
              <w:autoSpaceDE w:val="0"/>
              <w:autoSpaceDN w:val="0"/>
              <w:jc w:val="center"/>
              <w:rPr>
                <w:i/>
                <w:color w:val="000000"/>
                <w:sz w:val="20"/>
                <w:szCs w:val="22"/>
                <w:lang w:bidi="ru-RU"/>
              </w:rPr>
            </w:pPr>
            <w:r w:rsidRPr="007B4B0B">
              <w:rPr>
                <w:i/>
                <w:color w:val="000000"/>
                <w:sz w:val="20"/>
                <w:szCs w:val="22"/>
                <w:lang w:bidi="ru-RU"/>
              </w:rPr>
              <w:t>240+200 (слева)</w:t>
            </w: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41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r>
      <w:tr w:rsidR="003256EB" w:rsidRPr="007B4B0B" w:rsidTr="003256EB">
        <w:tc>
          <w:tcPr>
            <w:tcW w:w="235"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1.2.</w:t>
            </w:r>
          </w:p>
        </w:tc>
        <w:tc>
          <w:tcPr>
            <w:tcW w:w="550" w:type="pct"/>
            <w:vAlign w:val="center"/>
          </w:tcPr>
          <w:p w:rsidR="003256EB" w:rsidRPr="007B4B0B" w:rsidRDefault="003256EB" w:rsidP="003256EB">
            <w:pPr>
              <w:widowControl w:val="0"/>
              <w:autoSpaceDE w:val="0"/>
              <w:autoSpaceDN w:val="0"/>
              <w:jc w:val="center"/>
              <w:rPr>
                <w:i/>
                <w:color w:val="000000"/>
                <w:sz w:val="20"/>
                <w:szCs w:val="22"/>
                <w:lang w:bidi="ru-RU"/>
              </w:rPr>
            </w:pPr>
            <w:r w:rsidRPr="007B4B0B">
              <w:rPr>
                <w:i/>
                <w:color w:val="000000"/>
                <w:sz w:val="20"/>
                <w:szCs w:val="22"/>
                <w:lang w:bidi="ru-RU"/>
              </w:rPr>
              <w:t>Склад на МУ-2</w:t>
            </w:r>
          </w:p>
        </w:tc>
        <w:tc>
          <w:tcPr>
            <w:tcW w:w="638" w:type="pct"/>
            <w:vAlign w:val="center"/>
          </w:tcPr>
          <w:p w:rsidR="003256EB" w:rsidRPr="007B4B0B" w:rsidRDefault="003256EB" w:rsidP="003256EB">
            <w:pPr>
              <w:widowControl w:val="0"/>
              <w:autoSpaceDE w:val="0"/>
              <w:autoSpaceDN w:val="0"/>
              <w:jc w:val="center"/>
              <w:rPr>
                <w:i/>
                <w:color w:val="000000"/>
                <w:sz w:val="20"/>
                <w:szCs w:val="22"/>
                <w:lang w:bidi="ru-RU"/>
              </w:rPr>
            </w:pPr>
            <w:r w:rsidRPr="007B4B0B">
              <w:rPr>
                <w:i/>
                <w:color w:val="000000"/>
                <w:sz w:val="20"/>
                <w:szCs w:val="22"/>
                <w:lang w:bidi="ru-RU"/>
              </w:rPr>
              <w:t>295+210 (справа)</w:t>
            </w: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41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r>
      <w:tr w:rsidR="003256EB" w:rsidRPr="007B4B0B" w:rsidTr="003256EB">
        <w:tc>
          <w:tcPr>
            <w:tcW w:w="235"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550" w:type="pct"/>
            <w:vAlign w:val="center"/>
          </w:tcPr>
          <w:p w:rsidR="003256EB" w:rsidRPr="007B4B0B" w:rsidRDefault="003256EB" w:rsidP="003256EB">
            <w:pPr>
              <w:widowControl w:val="0"/>
              <w:autoSpaceDE w:val="0"/>
              <w:autoSpaceDN w:val="0"/>
              <w:jc w:val="center"/>
              <w:rPr>
                <w:i/>
                <w:color w:val="000000"/>
                <w:sz w:val="22"/>
                <w:szCs w:val="22"/>
                <w:lang w:bidi="ru-RU"/>
              </w:rPr>
            </w:pPr>
          </w:p>
        </w:tc>
        <w:tc>
          <w:tcPr>
            <w:tcW w:w="638" w:type="pct"/>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5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230"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416" w:type="pct"/>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r>
    </w:tbl>
    <w:p w:rsidR="00217D16" w:rsidRPr="002878FA" w:rsidRDefault="003256EB" w:rsidP="00BB22CC">
      <w:pPr>
        <w:widowControl w:val="0"/>
        <w:autoSpaceDE w:val="0"/>
        <w:autoSpaceDN w:val="0"/>
        <w:ind w:left="372" w:right="539" w:firstLine="567"/>
      </w:pPr>
      <w:r w:rsidRPr="007B4B0B">
        <w:rPr>
          <w:i/>
          <w:sz w:val="20"/>
          <w:lang w:bidi="ru-RU"/>
        </w:rPr>
        <w:t>Примечание: Курсивом указан пример заполнения</w:t>
      </w:r>
      <w:bookmarkStart w:id="1" w:name="_GoBack"/>
      <w:bookmarkEnd w:id="0"/>
      <w:bookmarkEnd w:id="1"/>
    </w:p>
    <w:sectPr w:rsidR="00217D16" w:rsidRPr="002878FA" w:rsidSect="00BB22CC">
      <w:footerReference w:type="default" r:id="rId8"/>
      <w:type w:val="nextColumn"/>
      <w:pgSz w:w="16838" w:h="11906" w:orient="landscape"/>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C1" w:rsidRDefault="00E30FC1" w:rsidP="00520FE2">
      <w:r>
        <w:separator/>
      </w:r>
    </w:p>
  </w:endnote>
  <w:endnote w:type="continuationSeparator" w:id="0">
    <w:p w:rsidR="00E30FC1" w:rsidRDefault="00E30FC1"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C1" w:rsidRDefault="00E30FC1" w:rsidP="00520FE2">
      <w:r>
        <w:separator/>
      </w:r>
    </w:p>
  </w:footnote>
  <w:footnote w:type="continuationSeparator" w:id="0">
    <w:p w:rsidR="00E30FC1" w:rsidRDefault="00E30FC1" w:rsidP="00520FE2">
      <w:r>
        <w:continuationSeparator/>
      </w:r>
    </w:p>
  </w:footnote>
  <w:footnote w:id="1">
    <w:p w:rsidR="001E205D" w:rsidRPr="001305A8" w:rsidRDefault="001E205D" w:rsidP="003256EB">
      <w:pPr>
        <w:pStyle w:val="aff8"/>
      </w:pPr>
      <w:r w:rsidRPr="001305A8">
        <w:rPr>
          <w:rStyle w:val="affa"/>
        </w:rPr>
        <w:footnoteRef/>
      </w:r>
      <w:r w:rsidRPr="001305A8">
        <w:t xml:space="preserve"> - План заготовки противогололедных материалов в соответствии с ППРС</w:t>
      </w:r>
    </w:p>
  </w:footnote>
  <w:footnote w:id="2">
    <w:p w:rsidR="001E205D" w:rsidRPr="001305A8" w:rsidRDefault="001E205D" w:rsidP="003256EB">
      <w:pPr>
        <w:pStyle w:val="aff8"/>
      </w:pPr>
      <w:r w:rsidRPr="001305A8">
        <w:rPr>
          <w:rStyle w:val="affa"/>
        </w:rPr>
        <w:footnoteRef/>
      </w:r>
      <w:r w:rsidRPr="001305A8">
        <w:t xml:space="preserve"> - План заготовки противогололедных материалов по проекту производства работ с указанием места складирования ПГМ</w:t>
      </w:r>
    </w:p>
  </w:footnote>
  <w:footnote w:id="3">
    <w:p w:rsidR="001E205D" w:rsidRPr="001305A8" w:rsidRDefault="001E205D" w:rsidP="003256EB">
      <w:pPr>
        <w:pStyle w:val="aff8"/>
      </w:pPr>
      <w:r w:rsidRPr="001305A8">
        <w:rPr>
          <w:rStyle w:val="affa"/>
        </w:rPr>
        <w:footnoteRef/>
      </w:r>
      <w:r w:rsidRPr="001305A8">
        <w:t xml:space="preserve"> - Изменение количества противогололедных материалов, хранящихся на каждом складе, в связи с приобретением дополнительного объема, с указанием даты поступления, а также планируемое их использование по договорам и участкам дорог</w:t>
      </w:r>
    </w:p>
  </w:footnote>
  <w:footnote w:id="4">
    <w:p w:rsidR="001E205D" w:rsidRPr="001305A8" w:rsidRDefault="001E205D" w:rsidP="003256EB">
      <w:pPr>
        <w:pStyle w:val="aff8"/>
      </w:pPr>
      <w:r w:rsidRPr="001305A8">
        <w:rPr>
          <w:rStyle w:val="affa"/>
        </w:rPr>
        <w:footnoteRef/>
      </w:r>
      <w:r w:rsidRPr="001305A8">
        <w:t xml:space="preserve"> - Изменение количества противогололедных материалов, хранящихся на каждом складе, в связи с перемещением на другой склад, с указанием даты перемещения, а также планируемое их использование по договорам и участкам дорог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22CC"/>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0FC1"/>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235A-7C4C-401C-B687-A19776DC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2025-11-24T14:45:00Z</dcterms:created>
  <dcterms:modified xsi:type="dcterms:W3CDTF">2025-11-24T14:45:00Z</dcterms:modified>
</cp:coreProperties>
</file>